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B99F" w14:textId="54D5406D" w:rsidR="00235BBA" w:rsidRDefault="00106B57" w:rsidP="00937C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Príloha č.1 - </w:t>
      </w:r>
      <w:r w:rsidR="00235BBA" w:rsidRPr="009F3D2A">
        <w:rPr>
          <w:b/>
          <w:bCs/>
          <w:sz w:val="28"/>
          <w:szCs w:val="28"/>
        </w:rPr>
        <w:t>Špecifikácia</w:t>
      </w:r>
      <w:r w:rsidR="001B1186" w:rsidRPr="009F3D2A">
        <w:rPr>
          <w:b/>
          <w:bCs/>
          <w:sz w:val="28"/>
          <w:szCs w:val="28"/>
        </w:rPr>
        <w:t xml:space="preserve"> rozsahu</w:t>
      </w:r>
      <w:r w:rsidR="00235BBA" w:rsidRPr="009F3D2A">
        <w:rPr>
          <w:b/>
          <w:bCs/>
          <w:sz w:val="28"/>
          <w:szCs w:val="28"/>
        </w:rPr>
        <w:t xml:space="preserve"> požadovaných služieb</w:t>
      </w:r>
    </w:p>
    <w:p w14:paraId="5A2B3853" w14:textId="77777777" w:rsidR="00937C2A" w:rsidRPr="00235BBA" w:rsidRDefault="00937C2A" w:rsidP="00937C2A">
      <w:pPr>
        <w:rPr>
          <w:b/>
          <w:bCs/>
        </w:rPr>
      </w:pPr>
    </w:p>
    <w:p w14:paraId="34CA2EEC" w14:textId="21031654" w:rsidR="00235BBA" w:rsidRPr="00051586" w:rsidRDefault="00235BBA" w:rsidP="002E0B4B">
      <w:pPr>
        <w:pStyle w:val="Odsekzoznamu"/>
        <w:numPr>
          <w:ilvl w:val="0"/>
          <w:numId w:val="5"/>
        </w:numPr>
        <w:jc w:val="both"/>
        <w:rPr>
          <w:b/>
          <w:bCs/>
          <w:u w:val="single"/>
        </w:rPr>
      </w:pPr>
      <w:r w:rsidRPr="00051586">
        <w:rPr>
          <w:b/>
          <w:bCs/>
          <w:u w:val="single"/>
        </w:rPr>
        <w:t>Úvod:</w:t>
      </w:r>
    </w:p>
    <w:p w14:paraId="0ED21823" w14:textId="39AE1B30" w:rsidR="00235BBA" w:rsidRDefault="00235BBA" w:rsidP="00235BBA">
      <w:pPr>
        <w:jc w:val="both"/>
      </w:pPr>
      <w:r w:rsidRPr="001A08A5">
        <w:t>NAFTA Production s.r.o.</w:t>
      </w:r>
      <w:r w:rsidR="00D72A95">
        <w:t xml:space="preserve"> ( ďalej Objednávateľ)</w:t>
      </w:r>
      <w:r w:rsidRPr="001A08A5">
        <w:t> sa</w:t>
      </w:r>
      <w:r w:rsidRPr="003E4534">
        <w:t xml:space="preserve"> zaoberá ťažbou ropy</w:t>
      </w:r>
      <w:r>
        <w:t xml:space="preserve">, </w:t>
      </w:r>
      <w:r w:rsidRPr="003E4534">
        <w:t xml:space="preserve">zemného plynu </w:t>
      </w:r>
      <w:r>
        <w:t xml:space="preserve">a gazolínu </w:t>
      </w:r>
      <w:r w:rsidRPr="003E4534">
        <w:t xml:space="preserve">(uhľovodíkov) </w:t>
      </w:r>
      <w:r>
        <w:t>vo východných a západných lokalitách</w:t>
      </w:r>
      <w:r w:rsidRPr="003E4534">
        <w:t xml:space="preserve"> Slovensk</w:t>
      </w:r>
      <w:r>
        <w:t xml:space="preserve">a </w:t>
      </w:r>
      <w:r w:rsidRPr="003E72EA">
        <w:t>(viď. Zoznam).</w:t>
      </w:r>
      <w:r w:rsidRPr="003E4534">
        <w:t xml:space="preserve"> </w:t>
      </w:r>
      <w:r>
        <w:t>Spoločnosť p</w:t>
      </w:r>
      <w:r w:rsidRPr="003E4534">
        <w:t>ôsobí v oblasti Viedenskej panvy, Podunajskej panvy a Východoslovenskej nížiny, kde sa nachádzajú najvýznamnejšie regionálne ložiská uhľovodíkov.</w:t>
      </w:r>
      <w:r>
        <w:t xml:space="preserve"> </w:t>
      </w:r>
      <w:r w:rsidRPr="003E4534">
        <w:t>Ťažba sa realizuje na základe príslušných povolení získaných od orgánov štátnej správy, a to predovšetkým Banských úradov.</w:t>
      </w:r>
      <w:r w:rsidR="003A7D90">
        <w:t xml:space="preserve"> </w:t>
      </w:r>
      <w:r w:rsidR="003A7D90" w:rsidRPr="00F54703">
        <w:t xml:space="preserve">NAFTA Production </w:t>
      </w:r>
      <w:r w:rsidR="003A7D90">
        <w:t>pre zabezpečenie</w:t>
      </w:r>
      <w:r w:rsidR="003A7D90" w:rsidRPr="00F54703">
        <w:t xml:space="preserve"> </w:t>
      </w:r>
      <w:r w:rsidR="003A7D90" w:rsidRPr="00F54703">
        <w:rPr>
          <w:b/>
          <w:bCs/>
        </w:rPr>
        <w:t>prevádzk</w:t>
      </w:r>
      <w:r w:rsidR="003A7D90">
        <w:rPr>
          <w:b/>
          <w:bCs/>
        </w:rPr>
        <w:t>y</w:t>
      </w:r>
      <w:r w:rsidR="003A7D90" w:rsidRPr="00F54703">
        <w:rPr>
          <w:b/>
          <w:bCs/>
        </w:rPr>
        <w:t xml:space="preserve"> a rozvoj</w:t>
      </w:r>
      <w:r w:rsidR="003A7D90">
        <w:rPr>
          <w:b/>
          <w:bCs/>
        </w:rPr>
        <w:t>u</w:t>
      </w:r>
      <w:r w:rsidR="003A7D90" w:rsidRPr="00F54703">
        <w:rPr>
          <w:b/>
          <w:bCs/>
        </w:rPr>
        <w:t xml:space="preserve"> produkčných činností</w:t>
      </w:r>
      <w:r w:rsidR="003A7D90">
        <w:rPr>
          <w:b/>
          <w:bCs/>
        </w:rPr>
        <w:t xml:space="preserve"> požaduje zabezpečiť </w:t>
      </w:r>
      <w:r w:rsidR="003A7D90" w:rsidRPr="005702C0">
        <w:t>poskytovateľa IT služieb a zdieľanej infraštruktúry</w:t>
      </w:r>
      <w:r w:rsidR="003A7D90">
        <w:t xml:space="preserve"> s uzatvorením zmluvy. </w:t>
      </w:r>
      <w:r w:rsidR="003A7D90" w:rsidRPr="005702C0">
        <w:t xml:space="preserve"> </w:t>
      </w:r>
      <w:r w:rsidR="003A7D90">
        <w:t xml:space="preserve">Požadované IT </w:t>
      </w:r>
      <w:r w:rsidR="00F739C9">
        <w:t xml:space="preserve">činnosti, </w:t>
      </w:r>
      <w:r w:rsidR="003A7D90">
        <w:t xml:space="preserve">služby musia </w:t>
      </w:r>
      <w:r w:rsidR="003A7D90" w:rsidRPr="005702C0">
        <w:t>zabezpeč</w:t>
      </w:r>
      <w:r w:rsidR="003A7D90">
        <w:t>iť</w:t>
      </w:r>
      <w:r w:rsidR="003A7D90" w:rsidRPr="005702C0">
        <w:t xml:space="preserve"> prevádzku používateľských staníc, sieťovej a serverovej infraštruktúry, účtov </w:t>
      </w:r>
      <w:r w:rsidR="003A7D90">
        <w:t>a</w:t>
      </w:r>
      <w:r w:rsidR="003A7D90" w:rsidRPr="02F97099">
        <w:rPr>
          <w:rFonts w:ascii="Arial" w:hAnsi="Arial" w:cs="Arial"/>
        </w:rPr>
        <w:t> </w:t>
      </w:r>
      <w:r w:rsidR="003A7D90">
        <w:t>aplika</w:t>
      </w:r>
      <w:r w:rsidR="003A7D90" w:rsidRPr="02F97099">
        <w:rPr>
          <w:rFonts w:ascii="Aptos" w:hAnsi="Aptos" w:cs="Aptos"/>
        </w:rPr>
        <w:t>č</w:t>
      </w:r>
      <w:r w:rsidR="003A7D90">
        <w:t>nej</w:t>
      </w:r>
      <w:r w:rsidR="003A7D90" w:rsidRPr="005702C0">
        <w:t xml:space="preserve"> podpory v prostred</w:t>
      </w:r>
      <w:r w:rsidR="003A7D90" w:rsidRPr="005702C0">
        <w:rPr>
          <w:rFonts w:ascii="Aptos" w:hAnsi="Aptos" w:cs="Aptos"/>
        </w:rPr>
        <w:t>í</w:t>
      </w:r>
      <w:r w:rsidR="003A7D90" w:rsidRPr="005702C0">
        <w:t xml:space="preserve"> M365, ako aj </w:t>
      </w:r>
      <w:r w:rsidR="003A7D90" w:rsidRPr="005702C0">
        <w:rPr>
          <w:rFonts w:ascii="Aptos" w:hAnsi="Aptos" w:cs="Aptos"/>
        </w:rPr>
        <w:t>ď</w:t>
      </w:r>
      <w:r w:rsidR="003A7D90" w:rsidRPr="005702C0">
        <w:t>al</w:t>
      </w:r>
      <w:r w:rsidR="003A7D90" w:rsidRPr="005702C0">
        <w:rPr>
          <w:rFonts w:ascii="Aptos" w:hAnsi="Aptos" w:cs="Aptos"/>
        </w:rPr>
        <w:t>š</w:t>
      </w:r>
      <w:r w:rsidR="003A7D90" w:rsidRPr="005702C0">
        <w:t>ie dohodnut</w:t>
      </w:r>
      <w:r w:rsidR="003A7D90" w:rsidRPr="005702C0">
        <w:rPr>
          <w:rFonts w:ascii="Aptos" w:hAnsi="Aptos" w:cs="Aptos"/>
        </w:rPr>
        <w:t>é</w:t>
      </w:r>
      <w:r w:rsidR="003A7D90" w:rsidRPr="005702C0">
        <w:t xml:space="preserve"> </w:t>
      </w:r>
      <w:r w:rsidR="003A7D90" w:rsidRPr="0002453B">
        <w:t>slu</w:t>
      </w:r>
      <w:r w:rsidR="003A7D90" w:rsidRPr="0002453B">
        <w:rPr>
          <w:rFonts w:ascii="Aptos" w:hAnsi="Aptos" w:cs="Aptos"/>
        </w:rPr>
        <w:t>ž</w:t>
      </w:r>
      <w:r w:rsidR="003A7D90" w:rsidRPr="0002453B">
        <w:t>by pre</w:t>
      </w:r>
      <w:r w:rsidR="0002453B" w:rsidRPr="0002453B">
        <w:t xml:space="preserve"> max.</w:t>
      </w:r>
      <w:r w:rsidR="003A7D90" w:rsidRPr="0002453B">
        <w:t xml:space="preserve"> 96</w:t>
      </w:r>
      <w:r w:rsidR="003A7D90" w:rsidRPr="00B462D1">
        <w:t xml:space="preserve"> u</w:t>
      </w:r>
      <w:r w:rsidR="003A7D90">
        <w:t>žívateľov v zmysle špecifikácie nižšie.</w:t>
      </w:r>
    </w:p>
    <w:p w14:paraId="3336FFA6" w14:textId="77777777" w:rsidR="00937C2A" w:rsidRDefault="00937C2A" w:rsidP="00235BBA">
      <w:pPr>
        <w:jc w:val="both"/>
      </w:pPr>
    </w:p>
    <w:p w14:paraId="0B366BBC" w14:textId="1414B52B" w:rsidR="004A6F80" w:rsidRPr="00051586" w:rsidRDefault="004A6F80" w:rsidP="0087627C">
      <w:pPr>
        <w:pStyle w:val="Odsekzoznamu"/>
        <w:numPr>
          <w:ilvl w:val="0"/>
          <w:numId w:val="5"/>
        </w:numPr>
        <w:jc w:val="both"/>
        <w:rPr>
          <w:b/>
          <w:bCs/>
          <w:u w:val="single"/>
        </w:rPr>
      </w:pPr>
      <w:r w:rsidRPr="00051586">
        <w:rPr>
          <w:b/>
          <w:bCs/>
          <w:u w:val="single"/>
        </w:rPr>
        <w:t>Legislatíva</w:t>
      </w:r>
      <w:r w:rsidR="00DD560D" w:rsidRPr="00051586">
        <w:rPr>
          <w:b/>
          <w:bCs/>
          <w:u w:val="single"/>
        </w:rPr>
        <w:t xml:space="preserve"> a skúsenosti</w:t>
      </w:r>
      <w:r w:rsidRPr="00051586">
        <w:rPr>
          <w:b/>
          <w:bCs/>
          <w:u w:val="single"/>
        </w:rPr>
        <w:t>:</w:t>
      </w:r>
    </w:p>
    <w:p w14:paraId="6274AE42" w14:textId="1D7C8AC4" w:rsidR="001B1186" w:rsidRPr="001B1186" w:rsidRDefault="001B1186" w:rsidP="00D72A95">
      <w:pPr>
        <w:jc w:val="both"/>
      </w:pPr>
      <w:r w:rsidRPr="001B1186">
        <w:t>Objednávateľ pre plnenie uvedených služieb požaduje</w:t>
      </w:r>
      <w:r w:rsidR="006B3461">
        <w:t xml:space="preserve"> predloženie</w:t>
      </w:r>
      <w:r w:rsidRPr="001B1186">
        <w:t xml:space="preserve"> nasledovn</w:t>
      </w:r>
      <w:r w:rsidR="006B3461">
        <w:t>ých</w:t>
      </w:r>
      <w:r w:rsidRPr="001B1186">
        <w:t xml:space="preserve"> </w:t>
      </w:r>
      <w:r w:rsidR="00A87E34">
        <w:t xml:space="preserve"> </w:t>
      </w:r>
      <w:r w:rsidRPr="001B1186">
        <w:t>osvedčen</w:t>
      </w:r>
      <w:r w:rsidR="006B3461">
        <w:t>í</w:t>
      </w:r>
      <w:r w:rsidR="00A87E34">
        <w:t xml:space="preserve"> a prehlásení</w:t>
      </w:r>
      <w:r w:rsidRPr="001B1186">
        <w:t xml:space="preserve"> od </w:t>
      </w:r>
      <w:r w:rsidR="00A87E34">
        <w:t>poskytovateľa</w:t>
      </w:r>
      <w:r w:rsidRPr="001B1186">
        <w:t>:</w:t>
      </w:r>
    </w:p>
    <w:p w14:paraId="27471DEB" w14:textId="1AB50A11" w:rsidR="00F12BC6" w:rsidRPr="00160691" w:rsidRDefault="00A87E34" w:rsidP="00F12BC6">
      <w:pPr>
        <w:pStyle w:val="Odsekzoznamu"/>
        <w:numPr>
          <w:ilvl w:val="1"/>
          <w:numId w:val="5"/>
        </w:numPr>
        <w:jc w:val="both"/>
      </w:pPr>
      <w:r>
        <w:t>Prehlásením</w:t>
      </w:r>
      <w:r w:rsidR="00F739C9">
        <w:t>, že disponuje dostatočnými kapacitami a vedomosťami pre plnenie predmetu súťaže,</w:t>
      </w:r>
    </w:p>
    <w:p w14:paraId="7F604E17" w14:textId="05AE47E0" w:rsidR="00F12BC6" w:rsidRDefault="0049113E" w:rsidP="00F12BC6">
      <w:pPr>
        <w:pStyle w:val="Odsekzoznamu"/>
        <w:numPr>
          <w:ilvl w:val="1"/>
          <w:numId w:val="5"/>
        </w:numPr>
        <w:spacing w:before="225" w:after="225" w:line="264" w:lineRule="auto"/>
        <w:jc w:val="both"/>
      </w:pPr>
      <w:r>
        <w:t>Navrhovateľ</w:t>
      </w:r>
      <w:r w:rsidR="00F12BC6" w:rsidRPr="00F12BC6">
        <w:t xml:space="preserve"> disponuje min. 1 pracovníkom s odbornou spôsobilosťou pre rozsah </w:t>
      </w:r>
      <w:bookmarkStart w:id="0" w:name="paragraf-9.odsek-2.pismeno-b.text"/>
      <w:r w:rsidR="00F739C9">
        <w:t>činnosti na elektrickom zariadení, inštalácie podľa §22</w:t>
      </w:r>
      <w:r w:rsidR="00F12BC6" w:rsidRPr="00F12BC6">
        <w:t>,</w:t>
      </w:r>
      <w:bookmarkEnd w:id="0"/>
      <w:r w:rsidR="00F12BC6" w:rsidRPr="00F12BC6">
        <w:t xml:space="preserve">  </w:t>
      </w:r>
      <w:r w:rsidR="00F739C9">
        <w:t>vyhlášky</w:t>
      </w:r>
      <w:r w:rsidR="00F12BC6" w:rsidRPr="00F12BC6">
        <w:t xml:space="preserve"> č. 5</w:t>
      </w:r>
      <w:r w:rsidR="00F739C9">
        <w:t>08</w:t>
      </w:r>
      <w:r w:rsidR="00F12BC6" w:rsidRPr="00F12BC6">
        <w:t>/200</w:t>
      </w:r>
      <w:r w:rsidR="00F739C9">
        <w:t>9</w:t>
      </w:r>
      <w:r w:rsidR="00F12BC6" w:rsidRPr="00F12BC6">
        <w:t xml:space="preserve"> </w:t>
      </w:r>
      <w:proofErr w:type="spellStart"/>
      <w:r w:rsidR="00F12BC6" w:rsidRPr="00F12BC6">
        <w:t>Z.z</w:t>
      </w:r>
      <w:proofErr w:type="spellEnd"/>
      <w:r w:rsidR="00F12BC6" w:rsidRPr="00F12BC6">
        <w:t>. v znení neskorších predpisov</w:t>
      </w:r>
      <w:r w:rsidR="00F739C9">
        <w:t xml:space="preserve"> a zákona č. 51/1988 </w:t>
      </w:r>
      <w:proofErr w:type="spellStart"/>
      <w:r w:rsidR="00F739C9" w:rsidRPr="00F12BC6">
        <w:t>Z.z</w:t>
      </w:r>
      <w:proofErr w:type="spellEnd"/>
      <w:r w:rsidR="00F739C9" w:rsidRPr="00F12BC6">
        <w:t>. v znení neskorších predpisov</w:t>
      </w:r>
      <w:r w:rsidR="00F739C9">
        <w:t>,</w:t>
      </w:r>
    </w:p>
    <w:p w14:paraId="25AB15BD" w14:textId="77777777" w:rsidR="00DD560D" w:rsidRDefault="00DD560D" w:rsidP="004A6F80">
      <w:pPr>
        <w:pStyle w:val="Odsekzoznamu"/>
        <w:jc w:val="both"/>
        <w:rPr>
          <w:u w:val="single"/>
        </w:rPr>
      </w:pPr>
    </w:p>
    <w:p w14:paraId="52954447" w14:textId="7383722B" w:rsidR="005F7B58" w:rsidRPr="00DD560D" w:rsidRDefault="00F739C9" w:rsidP="00D72A95">
      <w:pPr>
        <w:jc w:val="both"/>
      </w:pPr>
      <w:r>
        <w:t xml:space="preserve">Poskytovateľ v </w:t>
      </w:r>
      <w:r w:rsidR="00DD560D" w:rsidRPr="00DD560D">
        <w:t> zmysle tejto špecifikácie</w:t>
      </w:r>
      <w:r w:rsidR="006B3461">
        <w:t xml:space="preserve"> </w:t>
      </w:r>
      <w:r w:rsidR="00DD560D" w:rsidRPr="00DD560D">
        <w:t>deklaruje svoje skúsenosti</w:t>
      </w:r>
      <w:r w:rsidR="006B3461">
        <w:t xml:space="preserve"> predložením nasledovných dokumentov</w:t>
      </w:r>
      <w:r w:rsidR="00DD560D" w:rsidRPr="00DD560D">
        <w:t>:</w:t>
      </w:r>
    </w:p>
    <w:p w14:paraId="79CCB541" w14:textId="1FF0B8EF" w:rsidR="00DD560D" w:rsidRPr="00DD560D" w:rsidRDefault="00DD560D" w:rsidP="000E4683">
      <w:pPr>
        <w:pStyle w:val="Odsekzoznamu"/>
        <w:numPr>
          <w:ilvl w:val="0"/>
          <w:numId w:val="14"/>
        </w:numPr>
        <w:jc w:val="both"/>
      </w:pPr>
      <w:r w:rsidRPr="00DD560D">
        <w:t xml:space="preserve">Zoznam obdobných </w:t>
      </w:r>
      <w:r w:rsidR="00F739C9">
        <w:t>činností</w:t>
      </w:r>
      <w:r w:rsidRPr="00DD560D">
        <w:t xml:space="preserve"> plnených za posledných </w:t>
      </w:r>
      <w:r w:rsidR="00F739C9">
        <w:t>3</w:t>
      </w:r>
      <w:r w:rsidRPr="00DD560D">
        <w:t xml:space="preserve"> rokov </w:t>
      </w:r>
      <w:r w:rsidR="00F739C9">
        <w:t>v rovnakom alebo podobnom priemyselnom sektore v SR alebo Európe,</w:t>
      </w:r>
    </w:p>
    <w:p w14:paraId="320C32C1" w14:textId="7748E47F" w:rsidR="00DD560D" w:rsidRPr="00DD560D" w:rsidRDefault="00DD560D" w:rsidP="00DD560D">
      <w:pPr>
        <w:pStyle w:val="Odsekzoznamu"/>
        <w:numPr>
          <w:ilvl w:val="0"/>
          <w:numId w:val="14"/>
        </w:numPr>
        <w:jc w:val="both"/>
      </w:pPr>
      <w:r w:rsidRPr="00DD560D">
        <w:t xml:space="preserve">Zoznam </w:t>
      </w:r>
      <w:r w:rsidR="00F739C9">
        <w:t xml:space="preserve">pracovníkov v jednotlivých oblastiach s ktorými zabezpečí plnenie požadovaných činností a služieb. </w:t>
      </w:r>
    </w:p>
    <w:p w14:paraId="423CB94E" w14:textId="3D87CCCF" w:rsidR="00051586" w:rsidRDefault="00051586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5D0DFF45" w14:textId="0098F620" w:rsidR="0087627C" w:rsidRDefault="00F739C9" w:rsidP="0087627C">
      <w:pPr>
        <w:pStyle w:val="Odsekzoznamu"/>
        <w:numPr>
          <w:ilvl w:val="0"/>
          <w:numId w:val="5"/>
        </w:numPr>
        <w:jc w:val="both"/>
        <w:rPr>
          <w:b/>
          <w:bCs/>
          <w:u w:val="single"/>
        </w:rPr>
      </w:pPr>
      <w:r w:rsidRPr="00051586">
        <w:rPr>
          <w:b/>
          <w:bCs/>
          <w:u w:val="single"/>
        </w:rPr>
        <w:lastRenderedPageBreak/>
        <w:t>Všeobecné informácie a aktuálne</w:t>
      </w:r>
      <w:r w:rsidR="0087627C" w:rsidRPr="00051586">
        <w:rPr>
          <w:b/>
          <w:bCs/>
          <w:u w:val="single"/>
        </w:rPr>
        <w:t xml:space="preserve"> </w:t>
      </w:r>
      <w:r w:rsidRPr="00051586">
        <w:rPr>
          <w:b/>
          <w:bCs/>
          <w:u w:val="single"/>
        </w:rPr>
        <w:t>d</w:t>
      </w:r>
      <w:r w:rsidR="0087627C" w:rsidRPr="00051586">
        <w:rPr>
          <w:b/>
          <w:bCs/>
          <w:u w:val="single"/>
        </w:rPr>
        <w:t>áta</w:t>
      </w:r>
      <w:r w:rsidRPr="00051586">
        <w:rPr>
          <w:b/>
          <w:bCs/>
          <w:u w:val="single"/>
        </w:rPr>
        <w:t xml:space="preserve"> objednávateľa</w:t>
      </w:r>
      <w:r w:rsidR="0087627C" w:rsidRPr="00051586">
        <w:rPr>
          <w:b/>
          <w:bCs/>
          <w:u w:val="single"/>
        </w:rPr>
        <w:t xml:space="preserve">, potrebné </w:t>
      </w:r>
      <w:r w:rsidRPr="00051586">
        <w:rPr>
          <w:b/>
          <w:bCs/>
          <w:u w:val="single"/>
        </w:rPr>
        <w:t>pre ocenenie</w:t>
      </w:r>
      <w:r w:rsidR="0087627C" w:rsidRPr="00051586">
        <w:rPr>
          <w:b/>
          <w:bCs/>
          <w:u w:val="single"/>
        </w:rPr>
        <w:t xml:space="preserve"> výkon</w:t>
      </w:r>
      <w:r w:rsidRPr="00051586">
        <w:rPr>
          <w:b/>
          <w:bCs/>
          <w:u w:val="single"/>
        </w:rPr>
        <w:t>ov IT činností,</w:t>
      </w:r>
      <w:r w:rsidR="0087627C" w:rsidRPr="00051586">
        <w:rPr>
          <w:b/>
          <w:bCs/>
          <w:u w:val="single"/>
        </w:rPr>
        <w:t xml:space="preserve"> služieb</w:t>
      </w:r>
    </w:p>
    <w:p w14:paraId="7A7B5718" w14:textId="77777777" w:rsidR="000E2946" w:rsidRPr="00051586" w:rsidRDefault="000E2946" w:rsidP="000E2946">
      <w:pPr>
        <w:pStyle w:val="Odsekzoznamu"/>
        <w:jc w:val="both"/>
        <w:rPr>
          <w:b/>
          <w:bCs/>
          <w:u w:val="single"/>
        </w:rPr>
      </w:pPr>
    </w:p>
    <w:p w14:paraId="636F17D9" w14:textId="44005432" w:rsidR="000E2946" w:rsidRPr="00051586" w:rsidRDefault="000E2946" w:rsidP="000E2946">
      <w:pPr>
        <w:pStyle w:val="Odsekzoznamu"/>
        <w:numPr>
          <w:ilvl w:val="1"/>
          <w:numId w:val="5"/>
        </w:numPr>
        <w:spacing w:after="120" w:line="278" w:lineRule="auto"/>
        <w:rPr>
          <w:b/>
          <w:bCs/>
        </w:rPr>
      </w:pPr>
      <w:r>
        <w:rPr>
          <w:b/>
          <w:bCs/>
        </w:rPr>
        <w:t>Licencie</w:t>
      </w:r>
    </w:p>
    <w:p w14:paraId="306DA594" w14:textId="5A0F945C" w:rsidR="00051586" w:rsidRPr="00F15902" w:rsidRDefault="00051586" w:rsidP="00D72A95">
      <w:pPr>
        <w:jc w:val="both"/>
      </w:pPr>
      <w:r>
        <w:t xml:space="preserve">V spoločnosti </w:t>
      </w:r>
      <w:r w:rsidR="00D72A95">
        <w:t>Objednávateľa</w:t>
      </w:r>
      <w:r>
        <w:t xml:space="preserve"> sú </w:t>
      </w:r>
      <w:r w:rsidR="001F28DA">
        <w:t xml:space="preserve">aktuálne </w:t>
      </w:r>
      <w:r>
        <w:t>používané tieto licencované aplikácie:</w:t>
      </w:r>
    </w:p>
    <w:tbl>
      <w:tblPr>
        <w:tblW w:w="85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5140"/>
        <w:gridCol w:w="1234"/>
        <w:gridCol w:w="960"/>
      </w:tblGrid>
      <w:tr w:rsidR="00051586" w:rsidRPr="00B246C2" w14:paraId="7B3DAAAA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F9BA" w14:textId="77777777" w:rsidR="00051586" w:rsidRPr="00937C2A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SKU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420A" w14:textId="77777777" w:rsidR="00051586" w:rsidRPr="00937C2A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6202" w14:textId="77777777" w:rsidR="00051586" w:rsidRPr="00937C2A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C18A" w14:textId="77777777" w:rsidR="00051586" w:rsidRPr="00937C2A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</w:tr>
      <w:tr w:rsidR="00051586" w:rsidRPr="00B246C2" w14:paraId="19C708D2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2C4E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AAA-10756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5938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M365 E3 per User (Original)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8B9E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F0CF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41</w:t>
            </w:r>
          </w:p>
        </w:tc>
      </w:tr>
      <w:tr w:rsidR="00051586" w:rsidRPr="00B246C2" w14:paraId="33548807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2F0B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 xml:space="preserve"> JFX-00003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68CD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Microsoft 365 F3 Full USL per User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55F8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C83C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55</w:t>
            </w:r>
          </w:p>
        </w:tc>
      </w:tr>
      <w:tr w:rsidR="00051586" w:rsidRPr="00B246C2" w14:paraId="4779EFCC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537A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1GJ-00001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4E7B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Microsoft 365 Apps for Enterprise per Device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9263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A14C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10</w:t>
            </w:r>
          </w:p>
        </w:tc>
      </w:tr>
      <w:tr w:rsidR="00051586" w:rsidRPr="00B246C2" w14:paraId="3E2EF23A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4372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QLS-00007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3A30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Defender Endpoint P2 SU Defender Endpoint P1 Per User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321C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1A83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41</w:t>
            </w:r>
          </w:p>
        </w:tc>
      </w:tr>
      <w:tr w:rsidR="00051586" w:rsidRPr="00B246C2" w14:paraId="439FFD4F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69D2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WAM-00001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7375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Defender Endpoint F2 sub per User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24FF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2E25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55</w:t>
            </w:r>
          </w:p>
        </w:tc>
      </w:tr>
      <w:tr w:rsidR="000D6CAB" w:rsidRPr="00B246C2" w14:paraId="7C72C083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DB7C" w14:textId="77777777" w:rsidR="000D6CAB" w:rsidRPr="00937C2A" w:rsidRDefault="000D6CAB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CB88" w14:textId="0E78A865" w:rsidR="000D6CAB" w:rsidRPr="00937C2A" w:rsidRDefault="000D6CAB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C251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Citrix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160B" w14:textId="73A5BA5B" w:rsidR="000D6CAB" w:rsidRPr="00937C2A" w:rsidRDefault="000D6CAB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84BA" w14:textId="083F462D" w:rsidR="000D6CAB" w:rsidRPr="00937C2A" w:rsidRDefault="00C25183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8</w:t>
            </w:r>
          </w:p>
        </w:tc>
      </w:tr>
      <w:tr w:rsidR="00051586" w:rsidRPr="00B246C2" w14:paraId="2DEAB7DA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5385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E0EC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Adobe Acrobat 2020 Pro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7BC7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perpetual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440E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2</w:t>
            </w:r>
          </w:p>
        </w:tc>
      </w:tr>
      <w:tr w:rsidR="00051586" w:rsidRPr="00B246C2" w14:paraId="73028224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EA88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3010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Corel Draw Graphics Suite 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8252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perpetual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5996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2</w:t>
            </w:r>
          </w:p>
        </w:tc>
      </w:tr>
      <w:tr w:rsidR="00051586" w:rsidRPr="00B246C2" w14:paraId="1254C4E9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9730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ECDF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AutoCAD Electrical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F815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subscription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2C00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1</w:t>
            </w:r>
          </w:p>
        </w:tc>
      </w:tr>
      <w:tr w:rsidR="00051586" w:rsidRPr="00B246C2" w14:paraId="27CAC032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C801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B265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SAP Professional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92F9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perpetual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42D5" w14:textId="700AAA7B" w:rsidR="00051586" w:rsidRPr="00937C2A" w:rsidRDefault="005465DB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10</w:t>
            </w:r>
          </w:p>
        </w:tc>
      </w:tr>
      <w:tr w:rsidR="00051586" w:rsidRPr="00B246C2" w14:paraId="75BD81A1" w14:textId="77777777" w:rsidTr="00A5331E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F756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686C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SAP Professional Limited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CA54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perpetual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E337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3</w:t>
            </w:r>
          </w:p>
        </w:tc>
      </w:tr>
      <w:tr w:rsidR="00051586" w:rsidRPr="00B246C2" w14:paraId="3B347E97" w14:textId="77777777" w:rsidTr="000D6CAB">
        <w:trPr>
          <w:trHeight w:val="290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F6BA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ED27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SAP Developer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B1C3" w14:textId="77777777" w:rsidR="00051586" w:rsidRPr="00937C2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perpetual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3FFC" w14:textId="77777777" w:rsidR="00051586" w:rsidRPr="00937C2A" w:rsidRDefault="00051586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  <w:r w:rsidRPr="00937C2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  <w:t>1</w:t>
            </w:r>
          </w:p>
        </w:tc>
      </w:tr>
      <w:tr w:rsidR="000D6CAB" w:rsidRPr="00B246C2" w14:paraId="30E6E569" w14:textId="77777777" w:rsidTr="000D6CAB">
        <w:trPr>
          <w:trHeight w:val="2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6362" w14:textId="77777777" w:rsidR="000D6CAB" w:rsidRPr="00937C2A" w:rsidRDefault="000D6CAB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18337" w14:textId="7E766A39" w:rsidR="000D6CAB" w:rsidRPr="00937C2A" w:rsidRDefault="000D6CAB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A993" w14:textId="77777777" w:rsidR="000D6CAB" w:rsidRPr="00937C2A" w:rsidRDefault="000D6CAB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4904" w14:textId="77777777" w:rsidR="000D6CAB" w:rsidRPr="00937C2A" w:rsidRDefault="000D6CAB" w:rsidP="00A533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B" w:eastAsia="sk-SK"/>
              </w:rPr>
            </w:pPr>
          </w:p>
        </w:tc>
      </w:tr>
    </w:tbl>
    <w:p w14:paraId="0B84FA62" w14:textId="77777777" w:rsidR="00051586" w:rsidRDefault="00051586" w:rsidP="00051586">
      <w:pPr>
        <w:keepNext/>
        <w:spacing w:after="0" w:line="240" w:lineRule="auto"/>
      </w:pPr>
    </w:p>
    <w:p w14:paraId="4176C507" w14:textId="66827B16" w:rsidR="00051586" w:rsidRPr="00051586" w:rsidRDefault="00051586" w:rsidP="00051586">
      <w:pPr>
        <w:keepNext/>
        <w:spacing w:after="0" w:line="240" w:lineRule="auto"/>
        <w:jc w:val="both"/>
        <w:rPr>
          <w:i/>
          <w:iCs/>
        </w:rPr>
      </w:pPr>
      <w:r w:rsidRPr="00051586">
        <w:rPr>
          <w:i/>
          <w:iCs/>
        </w:rPr>
        <w:t>Pozn.: Uvedený počet je indikatívny a v nasledujúcich obdobiach sa bude znižovať najmä v oblasti licencií používateľských staníc. Potrebné zohľadniť v krycom liste pre dynamické zmeny.</w:t>
      </w:r>
    </w:p>
    <w:p w14:paraId="078636BB" w14:textId="77777777" w:rsidR="00051586" w:rsidRDefault="00051586" w:rsidP="00051586">
      <w:pPr>
        <w:keepNext/>
        <w:spacing w:after="0" w:line="240" w:lineRule="auto"/>
      </w:pPr>
    </w:p>
    <w:p w14:paraId="42EE4F18" w14:textId="32B85A0D" w:rsidR="00051586" w:rsidRPr="00051586" w:rsidRDefault="00051586" w:rsidP="00051586">
      <w:pPr>
        <w:pStyle w:val="Odsekzoznamu"/>
        <w:numPr>
          <w:ilvl w:val="1"/>
          <w:numId w:val="5"/>
        </w:numPr>
        <w:spacing w:after="120" w:line="278" w:lineRule="auto"/>
        <w:rPr>
          <w:b/>
          <w:bCs/>
        </w:rPr>
      </w:pPr>
      <w:r w:rsidRPr="00051586">
        <w:rPr>
          <w:b/>
          <w:bCs/>
        </w:rPr>
        <w:t>Lokality</w:t>
      </w:r>
    </w:p>
    <w:p w14:paraId="4B5D172C" w14:textId="14974E88" w:rsidR="00051586" w:rsidRDefault="00051586" w:rsidP="00D72A95">
      <w:pPr>
        <w:jc w:val="both"/>
      </w:pPr>
      <w:r>
        <w:t xml:space="preserve">Infraštruktúra, technológie a zamestnanci </w:t>
      </w:r>
      <w:r w:rsidR="00D72A95">
        <w:t xml:space="preserve">Objednávateľa </w:t>
      </w:r>
      <w:r>
        <w:t>sú rozmiestnení v rôznych lokalitách naprieč Slovenskom. Nasledujúca tabuľka obsahuje všetky aktuálne lokality, v ktorých je požadované poskytovanie IT činností a služieb:</w:t>
      </w: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3"/>
        <w:gridCol w:w="1705"/>
        <w:gridCol w:w="992"/>
        <w:gridCol w:w="2406"/>
      </w:tblGrid>
      <w:tr w:rsidR="00051586" w:rsidRPr="00236EF4" w14:paraId="055AB22E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876" w14:textId="77777777" w:rsidR="00051586" w:rsidRPr="00236EF4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FA9A" w14:textId="77777777" w:rsidR="00051586" w:rsidRPr="00236EF4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905C" w14:textId="77777777" w:rsidR="00051586" w:rsidRPr="00236EF4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C58E" w14:textId="008F1830" w:rsidR="00051586" w:rsidRPr="00236EF4" w:rsidRDefault="00D72A95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Aktuálny p</w:t>
            </w:r>
            <w:r w:rsidR="00051586" w:rsidRPr="00236EF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očet užívateľov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B1E7" w14:textId="04246A88" w:rsidR="00051586" w:rsidRPr="00236EF4" w:rsidRDefault="00FC17DF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Aktuálne p</w:t>
            </w:r>
            <w:r w:rsidR="00051586" w:rsidRPr="00236EF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repojenie</w:t>
            </w:r>
            <w:r w:rsidR="001824D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VPN site-to-site</w:t>
            </w:r>
          </w:p>
        </w:tc>
      </w:tr>
      <w:tr w:rsidR="00051586" w:rsidRPr="00236EF4" w14:paraId="064098C3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383A" w14:textId="617FFCCC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 xml:space="preserve">Malacky </w:t>
            </w:r>
            <w:r w:rsidR="00DF6C5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Smartpoint</w:t>
            </w:r>
            <w:proofErr w:type="spellEnd"/>
            <w:r w:rsidR="00DF6C5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AE4F" w14:textId="792DD3B8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158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sk-SK"/>
              </w:rPr>
              <w:t>Továrenská</w:t>
            </w:r>
            <w:proofErr w:type="spellEnd"/>
            <w:r w:rsidRPr="0005158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US" w:eastAsia="sk-SK"/>
              </w:rPr>
              <w:t xml:space="preserve"> 2396/15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F11A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kancelárska budova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5B92" w14:textId="5117C102" w:rsidR="00051586" w:rsidRPr="00236EF4" w:rsidRDefault="00051586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C3E2" w14:textId="1876CCF9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NAFTA Brati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a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va, NAFTA Plavecký Štvrtok</w:t>
            </w:r>
          </w:p>
        </w:tc>
      </w:tr>
      <w:tr w:rsidR="00051586" w:rsidRPr="00236EF4" w14:paraId="07182205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1447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ZPS Gajary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E4C6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58DF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2DCB" w14:textId="175457B9" w:rsidR="00051586" w:rsidRPr="00236EF4" w:rsidRDefault="00051586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B82DC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NAFTA Plavecký Štvrtok</w:t>
            </w:r>
          </w:p>
        </w:tc>
      </w:tr>
      <w:tr w:rsidR="00051586" w:rsidRPr="00236EF4" w14:paraId="321C8C2A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C31A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ZPS Záhorská Ves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9982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DAA1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3A7D" w14:textId="19B62090" w:rsidR="00051586" w:rsidRPr="00236EF4" w:rsidRDefault="00051586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ABBF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NAFTA Plavecký Štvrtok</w:t>
            </w:r>
          </w:p>
        </w:tc>
      </w:tr>
      <w:tr w:rsidR="00051586" w:rsidRPr="00236EF4" w14:paraId="32622D1E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EF91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ZPS Trakovice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84C05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91416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79A3" w14:textId="7B0BEB4E" w:rsidR="00051586" w:rsidRPr="00236EF4" w:rsidRDefault="00051586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66C3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NAFTA Plavecký Štvrtok</w:t>
            </w:r>
          </w:p>
        </w:tc>
      </w:tr>
      <w:tr w:rsidR="00051586" w:rsidRPr="00236EF4" w14:paraId="471C8315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AF69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S Dúbrava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5558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D0BC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85E0" w14:textId="134F1BFB" w:rsidR="00051586" w:rsidRPr="00236EF4" w:rsidRDefault="00051586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CA73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NAFTA Plavecký Štvrtok</w:t>
            </w:r>
          </w:p>
        </w:tc>
      </w:tr>
      <w:tr w:rsidR="00051586" w:rsidRPr="00236EF4" w14:paraId="55755AC6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0D2B1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CD6D" w14:textId="14EF2C9C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05158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Plynárenská 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DBD7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kancelárska budova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89B8" w14:textId="5CF11D69" w:rsidR="00051586" w:rsidRPr="00236EF4" w:rsidRDefault="00D72A95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1DAE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NAFTA Brat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i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sl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a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 xml:space="preserve">va, NAFTA Plavecký Štvrtok,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 xml:space="preserve">ZPS 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Senné</w:t>
            </w:r>
          </w:p>
        </w:tc>
      </w:tr>
      <w:tr w:rsidR="00051586" w:rsidRPr="00236EF4" w14:paraId="16583931" w14:textId="77777777" w:rsidTr="00DF6C58">
        <w:trPr>
          <w:trHeight w:val="332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85179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ZPS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 xml:space="preserve"> Senné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A5CE2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A2059" w14:textId="03D71911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AC6D" w14:textId="29022BF3" w:rsidR="00051586" w:rsidRPr="00236EF4" w:rsidRDefault="00D72A95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D758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Michalovce</w:t>
            </w:r>
          </w:p>
        </w:tc>
      </w:tr>
      <w:tr w:rsidR="00051586" w:rsidRPr="00236EF4" w14:paraId="51EDFA79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C7B2" w14:textId="77777777" w:rsidR="00051586" w:rsidRPr="00491D29" w:rsidRDefault="00051586" w:rsidP="00A5331E">
            <w:pPr>
              <w:spacing w:after="0" w:line="240" w:lineRule="auto"/>
            </w:pPr>
            <w:r w:rsidRPr="00491D29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eastAsia="sk-SK"/>
              </w:rPr>
              <w:t>V. Leváre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C8AA" w14:textId="77777777" w:rsidR="00051586" w:rsidRPr="00491D29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491D2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E2CC" w14:textId="0E853ACE" w:rsidR="00051586" w:rsidRPr="00491D29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491D2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expedičné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790F" w14:textId="535CC4D8" w:rsidR="00051586" w:rsidRPr="00491D29" w:rsidRDefault="00D72A95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2331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491D2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L</w:t>
            </w:r>
            <w:r w:rsidRPr="00491D29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eastAsia="sk-SK"/>
              </w:rPr>
              <w:t xml:space="preserve">en user VPN </w:t>
            </w:r>
            <w:proofErr w:type="spellStart"/>
            <w:r w:rsidRPr="00491D29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eastAsia="sk-SK"/>
              </w:rPr>
              <w:t>access</w:t>
            </w:r>
            <w:proofErr w:type="spellEnd"/>
          </w:p>
        </w:tc>
      </w:tr>
      <w:tr w:rsidR="00051586" w:rsidRPr="00236EF4" w14:paraId="7392A505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CE79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ZPS Ptrukša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BB9F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7710" w14:textId="5F1CCBE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7269" w14:textId="28F87BD2" w:rsidR="00051586" w:rsidRPr="00236EF4" w:rsidRDefault="00D72A95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F890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Michalovce</w:t>
            </w:r>
          </w:p>
        </w:tc>
      </w:tr>
      <w:tr w:rsidR="00051586" w:rsidRPr="00236EF4" w14:paraId="2CD12BF8" w14:textId="77777777" w:rsidTr="00DF6C58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A2A2" w14:textId="77777777" w:rsidR="00051586" w:rsidRPr="00236EF4" w:rsidRDefault="00051586" w:rsidP="00A5331E">
            <w:pPr>
              <w:spacing w:after="0" w:line="240" w:lineRule="auto"/>
            </w:pPr>
            <w:r w:rsidRPr="3CBED549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>ZPS Studienka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F766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AFAA" w14:textId="6EC750D4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zberné stredisko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DBA9" w14:textId="5FB2E999" w:rsidR="00051586" w:rsidRPr="00236EF4" w:rsidRDefault="00D72A95" w:rsidP="00D72A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A023" w14:textId="77777777" w:rsidR="00051586" w:rsidRPr="00236EF4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L</w:t>
            </w:r>
            <w:r w:rsidRPr="00236EF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en user V</w:t>
            </w:r>
            <w:r w:rsidRPr="3403620F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eastAsia="sk-SK"/>
              </w:rPr>
              <w:t xml:space="preserve">PN </w:t>
            </w:r>
            <w:proofErr w:type="spellStart"/>
            <w:r w:rsidRPr="3403620F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eastAsia="sk-SK"/>
              </w:rPr>
              <w:t>access</w:t>
            </w:r>
            <w:proofErr w:type="spellEnd"/>
          </w:p>
        </w:tc>
      </w:tr>
    </w:tbl>
    <w:p w14:paraId="4C249A9A" w14:textId="77777777" w:rsidR="00051586" w:rsidRDefault="00051586" w:rsidP="00051586"/>
    <w:p w14:paraId="334BD24C" w14:textId="77777777" w:rsidR="00051586" w:rsidRPr="002D0862" w:rsidRDefault="00051586" w:rsidP="00051586">
      <w:pPr>
        <w:pStyle w:val="Odsekzoznamu"/>
        <w:numPr>
          <w:ilvl w:val="1"/>
          <w:numId w:val="5"/>
        </w:numPr>
        <w:spacing w:after="120" w:line="278" w:lineRule="auto"/>
        <w:ind w:left="851" w:hanging="567"/>
        <w:contextualSpacing w:val="0"/>
        <w:rPr>
          <w:b/>
          <w:bCs/>
        </w:rPr>
      </w:pPr>
      <w:proofErr w:type="spellStart"/>
      <w:r w:rsidRPr="25227D1D">
        <w:rPr>
          <w:b/>
          <w:bCs/>
        </w:rPr>
        <w:t>Serverovská</w:t>
      </w:r>
      <w:proofErr w:type="spellEnd"/>
      <w:r w:rsidRPr="25227D1D">
        <w:rPr>
          <w:b/>
          <w:bCs/>
        </w:rPr>
        <w:t xml:space="preserve"> </w:t>
      </w:r>
      <w:r w:rsidRPr="001565FC">
        <w:rPr>
          <w:b/>
          <w:bCs/>
        </w:rPr>
        <w:t>Infraštruktúra</w:t>
      </w:r>
    </w:p>
    <w:p w14:paraId="7ECF8AF7" w14:textId="0E29356E" w:rsidR="00051586" w:rsidRDefault="00D72A95" w:rsidP="00D72A95">
      <w:pPr>
        <w:jc w:val="both"/>
      </w:pPr>
      <w:r>
        <w:t xml:space="preserve">Objednávateľ aktuálne </w:t>
      </w:r>
      <w:r w:rsidR="00051586">
        <w:t xml:space="preserve">využíva infraštruktúru dátových centier </w:t>
      </w:r>
      <w:r>
        <w:t xml:space="preserve">od poskytovateľa </w:t>
      </w:r>
      <w:r w:rsidR="00051586">
        <w:t>NAFTA a.s.</w:t>
      </w:r>
      <w:r>
        <w:t>,</w:t>
      </w:r>
      <w:r w:rsidR="00051586">
        <w:t xml:space="preserve"> </w:t>
      </w:r>
      <w:r>
        <w:t>spočívajúce v d</w:t>
      </w:r>
      <w:r w:rsidR="00051586" w:rsidRPr="00680222">
        <w:t>v</w:t>
      </w:r>
      <w:r>
        <w:t>och</w:t>
      </w:r>
      <w:r w:rsidR="00051586" w:rsidRPr="00680222">
        <w:t xml:space="preserve"> hlavn</w:t>
      </w:r>
      <w:r>
        <w:t>ých</w:t>
      </w:r>
      <w:r w:rsidR="00051586" w:rsidRPr="00680222">
        <w:t xml:space="preserve"> lokalit</w:t>
      </w:r>
      <w:r>
        <w:t>ách</w:t>
      </w:r>
      <w:r w:rsidR="00051586" w:rsidRPr="00680222">
        <w:t xml:space="preserve"> s prepojením na úrovni optiky a synchr</w:t>
      </w:r>
      <w:r w:rsidR="00051586">
        <w:t>ó</w:t>
      </w:r>
      <w:r w:rsidR="00051586" w:rsidRPr="00680222">
        <w:t xml:space="preserve">nnej replikácie, tvoriace základ vysokej dostupnosti. </w:t>
      </w:r>
      <w:proofErr w:type="spellStart"/>
      <w:r w:rsidR="00051586" w:rsidRPr="00680222">
        <w:t>Virtualiza</w:t>
      </w:r>
      <w:r w:rsidR="00051586" w:rsidRPr="00D72A95">
        <w:t>č</w:t>
      </w:r>
      <w:r w:rsidR="00051586" w:rsidRPr="00680222">
        <w:t>n</w:t>
      </w:r>
      <w:r w:rsidR="00051586" w:rsidRPr="00D72A95">
        <w:t>é</w:t>
      </w:r>
      <w:proofErr w:type="spellEnd"/>
      <w:r w:rsidR="00051586" w:rsidRPr="00680222">
        <w:t xml:space="preserve"> </w:t>
      </w:r>
      <w:proofErr w:type="spellStart"/>
      <w:r w:rsidR="00051586" w:rsidRPr="00680222">
        <w:t>clustre</w:t>
      </w:r>
      <w:proofErr w:type="spellEnd"/>
      <w:r w:rsidR="00051586" w:rsidRPr="00680222">
        <w:t xml:space="preserve"> a diskov</w:t>
      </w:r>
      <w:r w:rsidR="00051586" w:rsidRPr="00D72A95">
        <w:t>é</w:t>
      </w:r>
      <w:r w:rsidR="00051586" w:rsidRPr="00680222">
        <w:t xml:space="preserve"> polia s</w:t>
      </w:r>
      <w:r w:rsidR="00051586" w:rsidRPr="00D72A95">
        <w:t>ú</w:t>
      </w:r>
      <w:r w:rsidR="00051586" w:rsidRPr="00680222">
        <w:t xml:space="preserve"> rozlo</w:t>
      </w:r>
      <w:r w:rsidR="00051586" w:rsidRPr="00D72A95">
        <w:t>ž</w:t>
      </w:r>
      <w:r w:rsidR="00051586" w:rsidRPr="00680222">
        <w:t>en</w:t>
      </w:r>
      <w:r w:rsidR="00051586" w:rsidRPr="00D72A95">
        <w:t>é</w:t>
      </w:r>
      <w:r w:rsidR="00051586" w:rsidRPr="00680222">
        <w:t xml:space="preserve"> do oboch lokal</w:t>
      </w:r>
      <w:r w:rsidR="00051586" w:rsidRPr="00D72A95">
        <w:t>í</w:t>
      </w:r>
      <w:r w:rsidR="00051586" w:rsidRPr="00680222">
        <w:t>t.</w:t>
      </w:r>
      <w:r w:rsidR="00051586">
        <w:t xml:space="preserve"> Každé dátové centrum (primárne aj sekundárne) </w:t>
      </w:r>
      <w:r>
        <w:t>ob</w:t>
      </w:r>
      <w:r w:rsidR="00051586">
        <w:t xml:space="preserve">sahuje polovicu </w:t>
      </w:r>
      <w:proofErr w:type="spellStart"/>
      <w:r w:rsidR="00051586">
        <w:t>virtualizačných</w:t>
      </w:r>
      <w:proofErr w:type="spellEnd"/>
      <w:r w:rsidR="00051586">
        <w:t xml:space="preserve"> </w:t>
      </w:r>
      <w:proofErr w:type="spellStart"/>
      <w:r w:rsidR="00051586">
        <w:t>host</w:t>
      </w:r>
      <w:proofErr w:type="spellEnd"/>
      <w:r w:rsidR="00051586">
        <w:t xml:space="preserve"> serverov a 1 </w:t>
      </w:r>
      <w:proofErr w:type="spellStart"/>
      <w:r w:rsidR="00051586">
        <w:t>nód</w:t>
      </w:r>
      <w:proofErr w:type="spellEnd"/>
      <w:r w:rsidR="00051586">
        <w:t xml:space="preserve"> diskového poľa. Primárne aj sekundárne dátové centrum obsahujú 2x doménový radič (AD, DNS,DHCP), 1x </w:t>
      </w:r>
      <w:proofErr w:type="spellStart"/>
      <w:r w:rsidR="00051586">
        <w:t>file</w:t>
      </w:r>
      <w:proofErr w:type="spellEnd"/>
      <w:r w:rsidR="00051586">
        <w:t xml:space="preserve"> server Windows Server 2022 5TB HDD, 9</w:t>
      </w:r>
      <w:r w:rsidR="00FC17DF">
        <w:t>6</w:t>
      </w:r>
      <w:r w:rsidR="00051586">
        <w:t xml:space="preserve">x aplikačné a infraštruktúrne virtuálne </w:t>
      </w:r>
      <w:proofErr w:type="spellStart"/>
      <w:r w:rsidR="00051586">
        <w:t>hosty</w:t>
      </w:r>
      <w:proofErr w:type="spellEnd"/>
      <w:r w:rsidR="00051586">
        <w:t>.</w:t>
      </w:r>
    </w:p>
    <w:p w14:paraId="7B13325E" w14:textId="77777777" w:rsidR="00051586" w:rsidRDefault="00051586" w:rsidP="00D72A95">
      <w:pPr>
        <w:jc w:val="both"/>
      </w:pPr>
      <w:r>
        <w:t>Okrem primárneho a sekundárneho servera sa používa ešte jedna ďalšie lokalita kde je umiestnený “</w:t>
      </w:r>
      <w:proofErr w:type="spellStart"/>
      <w:r>
        <w:t>witness</w:t>
      </w:r>
      <w:proofErr w:type="spellEnd"/>
      <w:r>
        <w:t>” server, ktorý sa podieľa na monitorovaní dostupnosti primárneho a sekundárneho dátového centra.</w:t>
      </w:r>
    </w:p>
    <w:p w14:paraId="2A803E1B" w14:textId="77777777" w:rsidR="00051586" w:rsidRDefault="00051586" w:rsidP="00D72A95">
      <w:pPr>
        <w:jc w:val="both"/>
      </w:pPr>
      <w:r>
        <w:t xml:space="preserve">V lokalite Michalovce prevádzkuje NAFTA Production s.r.o. 1x </w:t>
      </w:r>
      <w:proofErr w:type="spellStart"/>
      <w:r>
        <w:t>virtualizačný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server. V tejto lokalite je umiestený 1x doménový radič (AD, DNS, DHCP), 1x </w:t>
      </w:r>
      <w:proofErr w:type="spellStart"/>
      <w:r>
        <w:t>file</w:t>
      </w:r>
      <w:proofErr w:type="spellEnd"/>
      <w:r>
        <w:t xml:space="preserve"> server Windows Server 2022 HDD 500 GB (vrátane </w:t>
      </w:r>
      <w:proofErr w:type="spellStart"/>
      <w:r>
        <w:t>print</w:t>
      </w:r>
      <w:proofErr w:type="spellEnd"/>
      <w:r>
        <w:t xml:space="preserve"> servera), 2x backup proxy server, 3x infraštruktúrny management server.</w:t>
      </w:r>
    </w:p>
    <w:p w14:paraId="14DB5253" w14:textId="77777777" w:rsidR="00051586" w:rsidRDefault="00051586" w:rsidP="00D72A95">
      <w:pPr>
        <w:jc w:val="both"/>
      </w:pPr>
      <w:r>
        <w:t>Všetky dátové centrá sú klimatizované, monitorované, so samostatným chladením a redundantným napájaním všetkých kritických prvkov.</w:t>
      </w:r>
    </w:p>
    <w:p w14:paraId="2A77D12B" w14:textId="77777777" w:rsidR="00051586" w:rsidRPr="001565FC" w:rsidRDefault="00051586" w:rsidP="00051586">
      <w:pPr>
        <w:keepNext/>
        <w:spacing w:after="0" w:line="240" w:lineRule="auto"/>
        <w:ind w:left="284"/>
        <w:jc w:val="both"/>
      </w:pPr>
    </w:p>
    <w:p w14:paraId="51A0214E" w14:textId="77777777" w:rsidR="00051586" w:rsidRDefault="00051586" w:rsidP="00051586">
      <w:pPr>
        <w:pStyle w:val="Odsekzoznamu"/>
        <w:numPr>
          <w:ilvl w:val="1"/>
          <w:numId w:val="5"/>
        </w:numPr>
        <w:spacing w:after="120" w:line="278" w:lineRule="auto"/>
        <w:ind w:left="851" w:hanging="567"/>
        <w:rPr>
          <w:b/>
          <w:bCs/>
        </w:rPr>
      </w:pPr>
      <w:r>
        <w:rPr>
          <w:b/>
          <w:bCs/>
        </w:rPr>
        <w:t>Koncové zariadenia</w:t>
      </w:r>
    </w:p>
    <w:p w14:paraId="072AA081" w14:textId="3850032F" w:rsidR="00051586" w:rsidRPr="00D72A95" w:rsidRDefault="00D72A95" w:rsidP="00D72A95">
      <w:pPr>
        <w:jc w:val="both"/>
      </w:pPr>
      <w:r>
        <w:t>Objednávateľ</w:t>
      </w:r>
      <w:r w:rsidRPr="00D72A95">
        <w:t xml:space="preserve"> </w:t>
      </w:r>
      <w:r w:rsidR="00051586" w:rsidRPr="00D72A95">
        <w:t xml:space="preserve">obstaráva osobné počítače z centrálneho skupinového kontraktu so spoločnosťou DELL, kde sú dohodnuté jednotné zostavy s cenami platnými v rámci skupiny EPH. V súčasnosti prevádzkuje spoločnosť 25ks prenosných počítačov rady </w:t>
      </w:r>
      <w:proofErr w:type="spellStart"/>
      <w:r w:rsidR="00051586" w:rsidRPr="00D72A95">
        <w:t>Latitude</w:t>
      </w:r>
      <w:proofErr w:type="spellEnd"/>
      <w:r w:rsidR="00051586" w:rsidRPr="00D72A95">
        <w:t xml:space="preserve"> a 36ks stolných počítačov rady </w:t>
      </w:r>
      <w:proofErr w:type="spellStart"/>
      <w:r w:rsidR="00051586" w:rsidRPr="00D72A95">
        <w:t>Optiplex</w:t>
      </w:r>
      <w:proofErr w:type="spellEnd"/>
      <w:r w:rsidR="00051586" w:rsidRPr="00D72A95">
        <w:t xml:space="preserve">. Štandardná zostava obsahuje myš, klávesnicu, monitor 24” a pre prenosné počítače aj tašku a </w:t>
      </w:r>
      <w:proofErr w:type="spellStart"/>
      <w:r w:rsidR="00051586" w:rsidRPr="00D72A95">
        <w:t>dokovaciu</w:t>
      </w:r>
      <w:proofErr w:type="spellEnd"/>
      <w:r w:rsidR="00051586" w:rsidRPr="00D72A95">
        <w:t xml:space="preserve"> stanicu. Štandardný životný cyklus obmeny je stanovený na 4 roky. Všetky koncové zariadenia sú spravované prostredníctvo Microsoft </w:t>
      </w:r>
      <w:proofErr w:type="spellStart"/>
      <w:r w:rsidR="00051586" w:rsidRPr="00D72A95">
        <w:t>Intune</w:t>
      </w:r>
      <w:proofErr w:type="spellEnd"/>
      <w:r w:rsidR="00051586" w:rsidRPr="00D72A95">
        <w:t>, v základe obsahujú schválené programové vybavenie (Windows 11, Office 365 E3, Defender for Endpoint P2, Global Protect VPN a iné podporné aplikácie).</w:t>
      </w:r>
    </w:p>
    <w:p w14:paraId="095C2F50" w14:textId="69278796" w:rsidR="00051586" w:rsidRPr="00D72A95" w:rsidRDefault="00D72A95" w:rsidP="00D72A95">
      <w:pPr>
        <w:jc w:val="both"/>
      </w:pPr>
      <w:r>
        <w:t>Objednávateľ</w:t>
      </w:r>
      <w:r w:rsidR="00051586" w:rsidRPr="00D72A95">
        <w:t xml:space="preserve"> prevádzkuje 14 tlačových zariadení, rozmiestnených naprieč lokalitami, prevládajú malé zariadenia pripojené priamo k stolnému počítaču. Na strediskách sú základné MFP, v lokalitách Malacky a Michalovce sú prevádzkované veľkokapacitné multifunkčné zariadenia spravované prostredníctvom </w:t>
      </w:r>
      <w:proofErr w:type="spellStart"/>
      <w:r w:rsidR="00051586" w:rsidRPr="00D72A95">
        <w:t>print</w:t>
      </w:r>
      <w:proofErr w:type="spellEnd"/>
      <w:r w:rsidR="00051586" w:rsidRPr="00D72A95">
        <w:t xml:space="preserve"> servera.</w:t>
      </w:r>
    </w:p>
    <w:p w14:paraId="308FB740" w14:textId="388AED6E" w:rsidR="00051586" w:rsidRPr="008A5895" w:rsidRDefault="00051586" w:rsidP="00937C2A">
      <w:pPr>
        <w:spacing w:after="0"/>
        <w:jc w:val="both"/>
        <w:rPr>
          <w:rFonts w:eastAsiaTheme="minorEastAsia"/>
        </w:rPr>
      </w:pPr>
      <w:r w:rsidRPr="008A5895">
        <w:rPr>
          <w:rFonts w:eastAsiaTheme="minorEastAsia"/>
        </w:rPr>
        <w:t xml:space="preserve">Mobilné zariadenia </w:t>
      </w:r>
      <w:r w:rsidR="00D72A95">
        <w:t>Objednávateľa</w:t>
      </w:r>
      <w:r w:rsidRPr="008A5895">
        <w:rPr>
          <w:rFonts w:eastAsiaTheme="minorEastAsia"/>
        </w:rPr>
        <w:t xml:space="preserve"> sú pre väčšinu užívateľov centrálne spravované prostredníctvom Microsoft </w:t>
      </w:r>
      <w:proofErr w:type="spellStart"/>
      <w:r w:rsidRPr="008A5895">
        <w:rPr>
          <w:rFonts w:eastAsiaTheme="minorEastAsia"/>
        </w:rPr>
        <w:t>Intune</w:t>
      </w:r>
      <w:proofErr w:type="spellEnd"/>
      <w:r w:rsidRPr="008A5895">
        <w:rPr>
          <w:rFonts w:eastAsiaTheme="minorEastAsia"/>
        </w:rPr>
        <w:t xml:space="preserve">. V súčasnosti </w:t>
      </w:r>
      <w:r w:rsidR="00D72A95">
        <w:t>Objednávateľ</w:t>
      </w:r>
      <w:r w:rsidRPr="008A5895">
        <w:rPr>
          <w:rFonts w:eastAsiaTheme="minorEastAsia"/>
        </w:rPr>
        <w:t xml:space="preserve"> prevádzkuje prevažne smartfóny rady Samsung </w:t>
      </w:r>
      <w:proofErr w:type="spellStart"/>
      <w:r w:rsidRPr="008A5895">
        <w:rPr>
          <w:rFonts w:eastAsiaTheme="minorEastAsia"/>
        </w:rPr>
        <w:t>Galaxy</w:t>
      </w:r>
      <w:proofErr w:type="spellEnd"/>
      <w:r w:rsidRPr="008A5895">
        <w:rPr>
          <w:rFonts w:eastAsiaTheme="minorEastAsia"/>
        </w:rPr>
        <w:t xml:space="preserve"> (29ks), jednoduché tlačidlové telefóny Nokia (16ks), </w:t>
      </w:r>
      <w:proofErr w:type="spellStart"/>
      <w:r w:rsidRPr="008A5895">
        <w:rPr>
          <w:rFonts w:eastAsiaTheme="minorEastAsia"/>
        </w:rPr>
        <w:t>landline</w:t>
      </w:r>
      <w:proofErr w:type="spellEnd"/>
      <w:r w:rsidRPr="008A5895">
        <w:rPr>
          <w:rFonts w:eastAsiaTheme="minorEastAsia"/>
        </w:rPr>
        <w:t xml:space="preserve"> telefóny (3ks) a špeciálne telefóny do výbušného prostredia (12ks). V niektorých notebookoch sú nainštalované </w:t>
      </w:r>
      <w:proofErr w:type="spellStart"/>
      <w:r w:rsidRPr="008A5895">
        <w:rPr>
          <w:rFonts w:eastAsiaTheme="minorEastAsia"/>
        </w:rPr>
        <w:t>dátove</w:t>
      </w:r>
      <w:proofErr w:type="spellEnd"/>
      <w:r w:rsidRPr="008A5895">
        <w:rPr>
          <w:rFonts w:eastAsiaTheme="minorEastAsia"/>
        </w:rPr>
        <w:t xml:space="preserve"> SIM karty (10ks). Mobilné služby v sieti GSM sú dodávané spoločnosťou Orange na základe samostatnej zmluvy.</w:t>
      </w:r>
    </w:p>
    <w:p w14:paraId="1475EC04" w14:textId="77777777" w:rsidR="00051586" w:rsidRDefault="00051586" w:rsidP="00051586">
      <w:pPr>
        <w:keepNext/>
        <w:spacing w:after="0" w:line="240" w:lineRule="auto"/>
        <w:ind w:left="284"/>
        <w:jc w:val="both"/>
      </w:pPr>
    </w:p>
    <w:p w14:paraId="0AEC2029" w14:textId="77777777" w:rsidR="00051586" w:rsidRPr="001565FC" w:rsidRDefault="00051586" w:rsidP="00051586">
      <w:pPr>
        <w:keepNext/>
        <w:spacing w:after="0" w:line="240" w:lineRule="auto"/>
        <w:ind w:left="284"/>
        <w:jc w:val="both"/>
      </w:pPr>
    </w:p>
    <w:p w14:paraId="1F9A7C0B" w14:textId="77777777" w:rsidR="00051586" w:rsidRDefault="00051586" w:rsidP="00051586">
      <w:pPr>
        <w:pStyle w:val="Odsekzoznamu"/>
        <w:numPr>
          <w:ilvl w:val="1"/>
          <w:numId w:val="5"/>
        </w:numPr>
        <w:spacing w:after="160" w:line="278" w:lineRule="auto"/>
        <w:ind w:left="851" w:hanging="567"/>
        <w:rPr>
          <w:b/>
          <w:bCs/>
        </w:rPr>
      </w:pPr>
      <w:r>
        <w:rPr>
          <w:b/>
          <w:bCs/>
        </w:rPr>
        <w:t xml:space="preserve">Sieťová infraštruktúra </w:t>
      </w:r>
    </w:p>
    <w:p w14:paraId="04957FDA" w14:textId="5D11EADF" w:rsidR="00051586" w:rsidRPr="00AD3016" w:rsidRDefault="00D72A95" w:rsidP="00051586">
      <w:pPr>
        <w:ind w:left="284"/>
        <w:jc w:val="both"/>
      </w:pPr>
      <w:r>
        <w:t xml:space="preserve">Objednávateľ </w:t>
      </w:r>
      <w:r w:rsidR="00051586">
        <w:t xml:space="preserve">zdieľa väčšinu sieťovej infraštruktúry so spoločnosťou NAFTA a.s. </w:t>
      </w:r>
      <w:r w:rsidR="00051586" w:rsidRPr="00B121DD">
        <w:t xml:space="preserve">Perimeter tvoria NGFW </w:t>
      </w:r>
      <w:proofErr w:type="spellStart"/>
      <w:r w:rsidR="00051586" w:rsidRPr="00B121DD">
        <w:t>PaloAlto</w:t>
      </w:r>
      <w:proofErr w:type="spellEnd"/>
      <w:r w:rsidR="00051586" w:rsidRPr="00B121DD">
        <w:t xml:space="preserve"> </w:t>
      </w:r>
      <w:r w:rsidR="00051586">
        <w:t xml:space="preserve">zapojené v režime vysokej dostupnosti, </w:t>
      </w:r>
      <w:r w:rsidR="00051586" w:rsidRPr="00B121DD">
        <w:t xml:space="preserve">ktoré poskytujú </w:t>
      </w:r>
      <w:r w:rsidR="00051586">
        <w:t xml:space="preserve">okrem štandardných služieb riadenia a kontroly sieťovej prevádzky aj site-to-site </w:t>
      </w:r>
      <w:r w:rsidR="00051586" w:rsidRPr="00B121DD">
        <w:t xml:space="preserve">VPN </w:t>
      </w:r>
      <w:r w:rsidR="00051586">
        <w:t xml:space="preserve">pre vzdialené lokality </w:t>
      </w:r>
      <w:r w:rsidR="00051586" w:rsidRPr="00B121DD">
        <w:t>a</w:t>
      </w:r>
      <w:r w:rsidR="00051586">
        <w:t xml:space="preserve"> užívateľskú </w:t>
      </w:r>
      <w:r w:rsidR="00051586" w:rsidRPr="00B121DD">
        <w:t>VPN</w:t>
      </w:r>
      <w:r w:rsidR="00051586">
        <w:t xml:space="preserve"> pre externých aj interných používateľov. V tabuľke nižšie je </w:t>
      </w:r>
      <w:r w:rsidR="0014399E">
        <w:t xml:space="preserve">aktuálne </w:t>
      </w:r>
      <w:r w:rsidR="00051586">
        <w:t>sieťové vybavenie jednotlivých lokalít:</w:t>
      </w:r>
    </w:p>
    <w:tbl>
      <w:tblPr>
        <w:tblpPr w:leftFromText="141" w:rightFromText="141" w:vertAnchor="text" w:horzAnchor="margin" w:tblpXSpec="center" w:tblpY="128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000"/>
        <w:gridCol w:w="1410"/>
        <w:gridCol w:w="1559"/>
        <w:gridCol w:w="1600"/>
        <w:gridCol w:w="1660"/>
      </w:tblGrid>
      <w:tr w:rsidR="00051586" w:rsidRPr="005A1EEA" w14:paraId="1FC32DBB" w14:textId="77777777" w:rsidTr="00A5331E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771A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Lokalita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2764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irewall </w:t>
            </w:r>
            <w:r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(VPN)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669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Managed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 Switch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750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iFi </w:t>
            </w:r>
            <w:r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(počet AP)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0AED" w14:textId="3F0EA687" w:rsidR="00051586" w:rsidRPr="005A1EEA" w:rsidRDefault="0014399E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V</w:t>
            </w:r>
            <w:r w:rsidR="00051586"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ideo konferencia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1165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Lokálny rádiový prenos bod-bod (počet AP)</w:t>
            </w:r>
          </w:p>
        </w:tc>
      </w:tr>
      <w:tr w:rsidR="00051586" w:rsidRPr="005A1EEA" w14:paraId="26316142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10D7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ZPS Senn</w:t>
            </w:r>
            <w:r>
              <w:rPr>
                <w:rFonts w:ascii="Aptos Narrow" w:eastAsia="Times New Roman" w:hAnsi="Aptos Narrow" w:cs="Times New Roman"/>
                <w:color w:val="000000"/>
                <w:lang w:eastAsia="sk-SK"/>
              </w:rPr>
              <w:t>é</w:t>
            </w: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A89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D69D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0B65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EAAC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9F2D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sk-SK"/>
              </w:rPr>
              <w:t>4</w:t>
            </w:r>
          </w:p>
        </w:tc>
      </w:tr>
      <w:tr w:rsidR="00051586" w:rsidRPr="005A1EEA" w14:paraId="3F162F1D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E7A2" w14:textId="77777777" w:rsidR="00051586" w:rsidRPr="005A1EEA" w:rsidRDefault="00051586" w:rsidP="00A5331E">
            <w:pPr>
              <w:spacing w:after="0" w:line="240" w:lineRule="auto"/>
            </w:pPr>
            <w:r w:rsidRPr="78C4E273"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  <w:t>ZPS Studienka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16B5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E3F7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35C6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GSM router 1x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CBDE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BC72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51586" w14:paraId="7339629A" w14:textId="77777777" w:rsidTr="00937C2A">
        <w:trPr>
          <w:trHeight w:val="2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33C" w14:textId="77777777" w:rsidR="00051586" w:rsidRDefault="00051586" w:rsidP="00937C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</w:pPr>
            <w:r w:rsidRPr="78C4E273"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  <w:t>V. Leváre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0D9E" w14:textId="77777777" w:rsidR="00051586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6B06" w14:textId="77777777" w:rsidR="00051586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8C24" w14:textId="77777777" w:rsidR="00051586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</w:pPr>
            <w:r w:rsidRPr="78C4E273"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  <w:t>GSM router 1x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15" w14:textId="77777777" w:rsidR="00051586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DC5A" w14:textId="77777777" w:rsidR="00051586" w:rsidRDefault="00051586" w:rsidP="00937C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sk-SK"/>
              </w:rPr>
            </w:pPr>
          </w:p>
        </w:tc>
      </w:tr>
      <w:tr w:rsidR="00051586" w:rsidRPr="005A1EEA" w14:paraId="76FBDF29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C29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ZNS D</w:t>
            </w:r>
            <w:r>
              <w:rPr>
                <w:rFonts w:ascii="Aptos Narrow" w:eastAsia="Times New Roman" w:hAnsi="Aptos Narrow" w:cs="Times New Roman"/>
                <w:color w:val="000000"/>
                <w:lang w:eastAsia="sk-SK"/>
              </w:rPr>
              <w:t>ú</w:t>
            </w: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brava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D897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F0E6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6B71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9742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8436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051586" w:rsidRPr="005A1EEA" w14:paraId="2DD74D2B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160A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ZPS Trakovice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5813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8D97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DF01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FAA8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024F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051586" w:rsidRPr="005A1EEA" w14:paraId="057BB6E0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3480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ZPS Záhorská 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F016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50D0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6B8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7B71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532E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051586" w:rsidRPr="005A1EEA" w14:paraId="468C77B2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5476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ZNS Gajary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FB3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12F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12AC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059B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0331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051586" w:rsidRPr="005A1EEA" w14:paraId="45F57728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3986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Michalovce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AD1D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E670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134E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2 (802.1x)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F28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0082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051586" w:rsidRPr="005A1EEA" w14:paraId="76AF9EAE" w14:textId="77777777" w:rsidTr="00A5331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2400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Malacky </w:t>
            </w:r>
            <w:proofErr w:type="spellStart"/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Smartpoint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1879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B931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6177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1C2D" w14:textId="77777777" w:rsidR="00051586" w:rsidRPr="005A1EEA" w:rsidRDefault="00051586" w:rsidP="00A533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AD42" w14:textId="77777777" w:rsidR="00051586" w:rsidRPr="005A1EEA" w:rsidRDefault="00051586" w:rsidP="00A533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5A1EEA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</w:tbl>
    <w:p w14:paraId="4A677405" w14:textId="77777777" w:rsidR="00051586" w:rsidRDefault="00051586" w:rsidP="00051586">
      <w:pPr>
        <w:spacing w:after="120"/>
        <w:ind w:left="284"/>
        <w:rPr>
          <w:b/>
          <w:bCs/>
        </w:rPr>
      </w:pPr>
    </w:p>
    <w:p w14:paraId="39565127" w14:textId="77777777" w:rsidR="00937C2A" w:rsidRDefault="00937C2A" w:rsidP="00051586">
      <w:pPr>
        <w:spacing w:after="120"/>
        <w:ind w:left="284"/>
        <w:rPr>
          <w:b/>
          <w:bCs/>
        </w:rPr>
      </w:pPr>
    </w:p>
    <w:p w14:paraId="0ED8903B" w14:textId="77777777" w:rsidR="00051586" w:rsidRDefault="00051586" w:rsidP="00051586">
      <w:pPr>
        <w:pStyle w:val="Odsekzoznamu"/>
        <w:numPr>
          <w:ilvl w:val="1"/>
          <w:numId w:val="5"/>
        </w:numPr>
        <w:spacing w:after="160" w:line="278" w:lineRule="auto"/>
        <w:ind w:left="851" w:hanging="567"/>
        <w:rPr>
          <w:b/>
          <w:bCs/>
        </w:rPr>
      </w:pPr>
      <w:r>
        <w:rPr>
          <w:b/>
          <w:bCs/>
        </w:rPr>
        <w:t>Internetová konektivita</w:t>
      </w:r>
    </w:p>
    <w:p w14:paraId="2521DAFC" w14:textId="46AD80B7" w:rsidR="00051586" w:rsidRPr="00A5596D" w:rsidRDefault="0014399E" w:rsidP="00051586">
      <w:pPr>
        <w:spacing w:after="0"/>
        <w:ind w:left="284"/>
        <w:jc w:val="both"/>
      </w:pPr>
      <w:r>
        <w:t xml:space="preserve">Objednávateľ </w:t>
      </w:r>
      <w:r w:rsidR="00051586">
        <w:t>vzhľadom na topológiu siete primárne využíva internetovú konektivitu spoločnosti NAFTA a.s.</w:t>
      </w:r>
      <w:r>
        <w:t>.</w:t>
      </w:r>
      <w:r w:rsidR="00051586">
        <w:t xml:space="preserve"> V lokalite Michalovce využíva 50mbps konektivitu od spoločnosti </w:t>
      </w:r>
      <w:proofErr w:type="spellStart"/>
      <w:r w:rsidR="00051586">
        <w:t>Minet</w:t>
      </w:r>
      <w:proofErr w:type="spellEnd"/>
      <w:r w:rsidR="00051586">
        <w:t xml:space="preserve">, ktorá poskytuje samostatné pripojenie do internetu aj na strediskách ZPS Ptrukša, ZPS Senné, lokalita Malacky </w:t>
      </w:r>
      <w:proofErr w:type="spellStart"/>
      <w:r w:rsidR="00051586">
        <w:t>Smartpoint</w:t>
      </w:r>
      <w:proofErr w:type="spellEnd"/>
      <w:r w:rsidR="00051586">
        <w:t xml:space="preserve"> je pripojená do internetu prostredníctvom spoločnosti </w:t>
      </w:r>
      <w:proofErr w:type="spellStart"/>
      <w:r w:rsidR="00051586">
        <w:t>Slovanet</w:t>
      </w:r>
      <w:proofErr w:type="spellEnd"/>
      <w:r w:rsidR="00051586">
        <w:t xml:space="preserve">. Ďalej spoločnosť využíva v lokalitách ZNS Dúbrava, ZPS Trakovice, ZPS Záhorská Ves, ZNS Gajary internetové pripojenie od spoločnosti </w:t>
      </w:r>
      <w:proofErr w:type="spellStart"/>
      <w:r w:rsidR="00051586">
        <w:t>Slovanet</w:t>
      </w:r>
      <w:proofErr w:type="spellEnd"/>
      <w:r w:rsidR="00051586">
        <w:t>.</w:t>
      </w:r>
    </w:p>
    <w:p w14:paraId="1EDACE30" w14:textId="77777777" w:rsidR="00051586" w:rsidRDefault="00051586" w:rsidP="00051586">
      <w:pPr>
        <w:spacing w:after="0" w:line="240" w:lineRule="auto"/>
        <w:ind w:left="284"/>
      </w:pPr>
    </w:p>
    <w:p w14:paraId="665A6FF0" w14:textId="77777777" w:rsidR="00937C2A" w:rsidRDefault="00937C2A" w:rsidP="00051586">
      <w:pPr>
        <w:spacing w:after="0" w:line="240" w:lineRule="auto"/>
        <w:ind w:left="284"/>
      </w:pPr>
    </w:p>
    <w:p w14:paraId="6033DA5A" w14:textId="77777777" w:rsidR="00051586" w:rsidRDefault="00051586" w:rsidP="00051586">
      <w:pPr>
        <w:pStyle w:val="Odsekzoznamu"/>
        <w:numPr>
          <w:ilvl w:val="1"/>
          <w:numId w:val="5"/>
        </w:numPr>
        <w:spacing w:after="160" w:line="278" w:lineRule="auto"/>
        <w:ind w:left="851" w:hanging="567"/>
        <w:rPr>
          <w:b/>
          <w:bCs/>
        </w:rPr>
      </w:pPr>
      <w:r>
        <w:rPr>
          <w:b/>
          <w:bCs/>
        </w:rPr>
        <w:t xml:space="preserve">ICS systém </w:t>
      </w:r>
      <w:r>
        <w:rPr>
          <w:b/>
          <w:bCs/>
          <w:lang w:val="en-US"/>
        </w:rPr>
        <w:t>(OT)</w:t>
      </w:r>
    </w:p>
    <w:p w14:paraId="404C9D4A" w14:textId="22069D2C" w:rsidR="00051586" w:rsidRDefault="00051586" w:rsidP="00E1209B">
      <w:pPr>
        <w:spacing w:after="0" w:line="240" w:lineRule="auto"/>
        <w:ind w:left="284"/>
        <w:jc w:val="both"/>
      </w:pPr>
      <w:r w:rsidRPr="00A5596D">
        <w:t>Spolo</w:t>
      </w:r>
      <w:r>
        <w:t xml:space="preserve">čnosť prevádzkuje v lokalitách ZPS </w:t>
      </w:r>
      <w:r w:rsidR="00E1209B">
        <w:t>Ptrukša</w:t>
      </w:r>
      <w:r>
        <w:t xml:space="preserve"> a Michalovce riadiaci systém </w:t>
      </w:r>
      <w:r>
        <w:rPr>
          <w:lang w:val="en-US"/>
        </w:rPr>
        <w:t xml:space="preserve">(OT) </w:t>
      </w:r>
      <w:proofErr w:type="spellStart"/>
      <w:r>
        <w:rPr>
          <w:lang w:val="en-US"/>
        </w:rPr>
        <w:t>používajúci</w:t>
      </w:r>
      <w:proofErr w:type="spellEnd"/>
      <w:r>
        <w:rPr>
          <w:lang w:val="en-US"/>
        </w:rPr>
        <w:t xml:space="preserve"> HMI </w:t>
      </w:r>
      <w:proofErr w:type="spellStart"/>
      <w:r>
        <w:rPr>
          <w:lang w:val="en-US"/>
        </w:rPr>
        <w:t>softvér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spoločnosti</w:t>
      </w:r>
      <w:proofErr w:type="spellEnd"/>
      <w:r>
        <w:t xml:space="preserve"> AVEVA </w:t>
      </w:r>
      <w:proofErr w:type="spellStart"/>
      <w:r>
        <w:t>InTouch</w:t>
      </w:r>
      <w:proofErr w:type="spellEnd"/>
      <w:r>
        <w:t xml:space="preserve"> HMI, </w:t>
      </w:r>
      <w:r w:rsidRPr="003751D4">
        <w:t>ktorý umožňuje vizualizáciu, riadenie a monitorovanie výrobných procesov v reálnom čase.</w:t>
      </w:r>
      <w:r>
        <w:t xml:space="preserve"> Tento riadiaci systém je vzhľadom na konečnú fázu životného cyklu prevádzkovaný v izolovanom segmente siete na pracovných staniciach s operačným systémom Windows 7 v súčasnosti bez podpory.</w:t>
      </w:r>
    </w:p>
    <w:p w14:paraId="68D4B671" w14:textId="77777777" w:rsidR="00051586" w:rsidRDefault="00051586" w:rsidP="00051586">
      <w:pPr>
        <w:pStyle w:val="Odsekzoznamu"/>
        <w:numPr>
          <w:ilvl w:val="1"/>
          <w:numId w:val="5"/>
        </w:numPr>
        <w:spacing w:after="160" w:line="278" w:lineRule="auto"/>
        <w:ind w:left="851" w:hanging="567"/>
        <w:rPr>
          <w:b/>
          <w:bCs/>
        </w:rPr>
      </w:pPr>
      <w:r>
        <w:rPr>
          <w:b/>
          <w:bCs/>
        </w:rPr>
        <w:t>Aplikačné portfólio</w:t>
      </w:r>
    </w:p>
    <w:p w14:paraId="4367EEC2" w14:textId="560BB088" w:rsidR="00051586" w:rsidRDefault="00051586" w:rsidP="00051586">
      <w:pPr>
        <w:ind w:left="284"/>
        <w:jc w:val="both"/>
      </w:pPr>
      <w:r>
        <w:t xml:space="preserve">V súčasnosti využíva </w:t>
      </w:r>
      <w:r w:rsidR="0014399E">
        <w:t>Objednávateľ</w:t>
      </w:r>
      <w:r>
        <w:t xml:space="preserve"> tieto aplikácie: </w:t>
      </w:r>
    </w:p>
    <w:p w14:paraId="053F5CED" w14:textId="77777777" w:rsidR="00051586" w:rsidRPr="00975B25" w:rsidRDefault="00051586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r>
        <w:rPr>
          <w:lang w:val="en-US"/>
        </w:rPr>
        <w:t xml:space="preserve">ERP SAP R/3: </w:t>
      </w:r>
      <w:proofErr w:type="spellStart"/>
      <w:r>
        <w:rPr>
          <w:lang w:val="en-US"/>
        </w:rPr>
        <w:t>samostatn</w:t>
      </w:r>
      <w:proofErr w:type="spellEnd"/>
      <w:r>
        <w:t xml:space="preserve">á </w:t>
      </w:r>
      <w:proofErr w:type="spellStart"/>
      <w:r>
        <w:t>onpremise</w:t>
      </w:r>
      <w:proofErr w:type="spellEnd"/>
      <w:r>
        <w:t xml:space="preserve"> inštalácia ERP systému prevádzkovaná v dátovom centre NAFTA a.s. vo verzii </w:t>
      </w:r>
      <w:r w:rsidRPr="00DA74E8">
        <w:t>ECC 6.0</w:t>
      </w:r>
      <w:r>
        <w:t>, EHP7 s DB Oracle, pozostávajúca z vývojového a produkčného prostredia. Moduly BC, FI, AM, CO, MM a HR.</w:t>
      </w:r>
    </w:p>
    <w:p w14:paraId="6ADC9868" w14:textId="77777777" w:rsidR="00051586" w:rsidRPr="00EA3119" w:rsidRDefault="00051586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r>
        <w:t xml:space="preserve">AutoCAD </w:t>
      </w:r>
      <w:proofErr w:type="spellStart"/>
      <w:r>
        <w:t>Electrical</w:t>
      </w:r>
      <w:proofErr w:type="spellEnd"/>
      <w:r>
        <w:t xml:space="preserve"> </w:t>
      </w:r>
    </w:p>
    <w:p w14:paraId="2BCFC358" w14:textId="77777777" w:rsidR="00051586" w:rsidRPr="00603549" w:rsidRDefault="00051586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r>
        <w:t xml:space="preserve">CMS </w:t>
      </w:r>
      <w:proofErr w:type="spellStart"/>
      <w:r>
        <w:t>Contract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 xml:space="preserve">: </w:t>
      </w:r>
      <w:proofErr w:type="spellStart"/>
      <w:r>
        <w:t>inhouse</w:t>
      </w:r>
      <w:proofErr w:type="spellEnd"/>
      <w:r>
        <w:t xml:space="preserve"> vyvinutá aplikácia na e</w:t>
      </w:r>
      <w:r w:rsidRPr="004274AE">
        <w:t>videnciu zmlúv pre nákup a</w:t>
      </w:r>
      <w:r w:rsidRPr="004274AE">
        <w:rPr>
          <w:rFonts w:ascii="Arial" w:hAnsi="Arial" w:cs="Arial"/>
        </w:rPr>
        <w:t> </w:t>
      </w:r>
      <w:r w:rsidRPr="004274AE">
        <w:t>predaj zemn</w:t>
      </w:r>
      <w:r w:rsidRPr="004274AE">
        <w:rPr>
          <w:rFonts w:ascii="Aptos" w:hAnsi="Aptos" w:cs="Aptos"/>
        </w:rPr>
        <w:t>é</w:t>
      </w:r>
      <w:r w:rsidRPr="004274AE">
        <w:t>ho plynu, podpora nomina</w:t>
      </w:r>
      <w:r w:rsidRPr="004274AE">
        <w:rPr>
          <w:rFonts w:ascii="Aptos" w:hAnsi="Aptos" w:cs="Aptos"/>
        </w:rPr>
        <w:t>č</w:t>
      </w:r>
      <w:r w:rsidRPr="004274AE">
        <w:t>n</w:t>
      </w:r>
      <w:r w:rsidRPr="004274AE">
        <w:rPr>
          <w:rFonts w:ascii="Aptos" w:hAnsi="Aptos" w:cs="Aptos"/>
        </w:rPr>
        <w:t>é</w:t>
      </w:r>
      <w:r w:rsidRPr="004274AE">
        <w:t>ho procesu a</w:t>
      </w:r>
      <w:r w:rsidRPr="004274AE">
        <w:rPr>
          <w:rFonts w:ascii="Arial" w:hAnsi="Arial" w:cs="Arial"/>
        </w:rPr>
        <w:t> </w:t>
      </w:r>
      <w:r w:rsidRPr="004274AE">
        <w:t>reportovanie REMIT</w:t>
      </w:r>
      <w:r>
        <w:t xml:space="preserve"> </w:t>
      </w:r>
    </w:p>
    <w:p w14:paraId="5C85E0A8" w14:textId="77777777" w:rsidR="00051586" w:rsidRDefault="00051586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proofErr w:type="spellStart"/>
      <w:r>
        <w:rPr>
          <w:lang w:val="en-US"/>
        </w:rPr>
        <w:t>Dochádzkový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systém</w:t>
      </w:r>
      <w:proofErr w:type="spellEnd"/>
      <w:r>
        <w:rPr>
          <w:lang w:val="en-US"/>
        </w:rPr>
        <w:t xml:space="preserve"> WEGA LH Kriváň</w:t>
      </w:r>
    </w:p>
    <w:p w14:paraId="3470B73D" w14:textId="77777777" w:rsidR="00051586" w:rsidRDefault="00051586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r>
        <w:rPr>
          <w:lang w:val="en-US"/>
        </w:rPr>
        <w:t>Adobe Acrobat Professional 2020</w:t>
      </w:r>
    </w:p>
    <w:p w14:paraId="633271F4" w14:textId="77777777" w:rsidR="00051586" w:rsidRDefault="00051586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r>
        <w:rPr>
          <w:lang w:val="en-US"/>
        </w:rPr>
        <w:t>CorelDraw Graphics Suite 11</w:t>
      </w:r>
    </w:p>
    <w:p w14:paraId="4F4EAC46" w14:textId="47BD1630" w:rsidR="00C25183" w:rsidRPr="00855EB2" w:rsidRDefault="00C25183" w:rsidP="00051586">
      <w:pPr>
        <w:pStyle w:val="Odsekzoznamu"/>
        <w:numPr>
          <w:ilvl w:val="0"/>
          <w:numId w:val="18"/>
        </w:numPr>
        <w:spacing w:after="120" w:line="278" w:lineRule="auto"/>
        <w:ind w:left="1003" w:hanging="357"/>
        <w:jc w:val="both"/>
        <w:rPr>
          <w:lang w:val="en-US"/>
        </w:rPr>
      </w:pPr>
      <w:r>
        <w:rPr>
          <w:lang w:val="en-US"/>
        </w:rPr>
        <w:t xml:space="preserve">Citrix </w:t>
      </w:r>
      <w:r w:rsidRPr="00C25183">
        <w:t>– vzdialený prístup pre monitorovanie ťažobných údajov v zdieľaných projektoch</w:t>
      </w:r>
    </w:p>
    <w:p w14:paraId="214A92D5" w14:textId="77777777" w:rsidR="00051586" w:rsidRPr="00294277" w:rsidRDefault="00051586" w:rsidP="00051586">
      <w:pPr>
        <w:spacing w:after="0" w:line="240" w:lineRule="auto"/>
        <w:ind w:left="284"/>
      </w:pPr>
    </w:p>
    <w:p w14:paraId="44EFAC27" w14:textId="77777777" w:rsidR="00051586" w:rsidRDefault="00051586" w:rsidP="00051586">
      <w:pPr>
        <w:pStyle w:val="Odsekzoznamu"/>
        <w:numPr>
          <w:ilvl w:val="1"/>
          <w:numId w:val="5"/>
        </w:numPr>
        <w:spacing w:after="160" w:line="278" w:lineRule="auto"/>
        <w:ind w:left="851" w:hanging="567"/>
        <w:rPr>
          <w:b/>
          <w:bCs/>
        </w:rPr>
      </w:pPr>
      <w:r>
        <w:rPr>
          <w:b/>
          <w:bCs/>
        </w:rPr>
        <w:t>Bezpečnostné systémy</w:t>
      </w:r>
    </w:p>
    <w:p w14:paraId="39AC258A" w14:textId="36C0974C" w:rsidR="00051586" w:rsidRDefault="0014399E" w:rsidP="00051586">
      <w:pPr>
        <w:ind w:left="284"/>
      </w:pPr>
      <w:r>
        <w:t xml:space="preserve">Objednávateľ </w:t>
      </w:r>
      <w:r w:rsidR="00051586">
        <w:t>v súčasnosti využíva tieto bezpečnostné systémy:</w:t>
      </w:r>
    </w:p>
    <w:p w14:paraId="1C290304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r w:rsidRPr="00660BE2">
        <w:t xml:space="preserve">Microsoft Exchange Online </w:t>
      </w:r>
      <w:proofErr w:type="spellStart"/>
      <w:r w:rsidRPr="00660BE2">
        <w:t>Protection</w:t>
      </w:r>
      <w:proofErr w:type="spellEnd"/>
    </w:p>
    <w:p w14:paraId="6C6568CC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r w:rsidRPr="00660BE2">
        <w:t xml:space="preserve">Microsoft </w:t>
      </w:r>
      <w:proofErr w:type="spellStart"/>
      <w:r w:rsidRPr="00660BE2">
        <w:t>Defender</w:t>
      </w:r>
      <w:proofErr w:type="spellEnd"/>
      <w:r w:rsidRPr="00660BE2">
        <w:t xml:space="preserve"> </w:t>
      </w:r>
      <w:proofErr w:type="spellStart"/>
      <w:r w:rsidRPr="00660BE2">
        <w:t>for</w:t>
      </w:r>
      <w:proofErr w:type="spellEnd"/>
      <w:r w:rsidRPr="00660BE2">
        <w:t xml:space="preserve"> </w:t>
      </w:r>
      <w:proofErr w:type="spellStart"/>
      <w:r w:rsidRPr="00660BE2">
        <w:t>Endpoint</w:t>
      </w:r>
      <w:proofErr w:type="spellEnd"/>
    </w:p>
    <w:p w14:paraId="09724ABB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r w:rsidRPr="00660BE2">
        <w:t xml:space="preserve">Microsoft </w:t>
      </w:r>
      <w:proofErr w:type="spellStart"/>
      <w:r w:rsidRPr="00660BE2">
        <w:t>Intune</w:t>
      </w:r>
      <w:proofErr w:type="spellEnd"/>
    </w:p>
    <w:p w14:paraId="00A99BB7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r w:rsidRPr="00660BE2">
        <w:t xml:space="preserve">Microsoft </w:t>
      </w:r>
      <w:proofErr w:type="spellStart"/>
      <w:r w:rsidRPr="00660BE2">
        <w:t>Security</w:t>
      </w:r>
      <w:proofErr w:type="spellEnd"/>
      <w:r w:rsidRPr="00660BE2">
        <w:t xml:space="preserve"> </w:t>
      </w:r>
      <w:proofErr w:type="spellStart"/>
      <w:r w:rsidRPr="00660BE2">
        <w:t>Portal</w:t>
      </w:r>
      <w:proofErr w:type="spellEnd"/>
    </w:p>
    <w:p w14:paraId="05C75C4E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r w:rsidRPr="00660BE2">
        <w:t xml:space="preserve">Cisco Email </w:t>
      </w:r>
      <w:proofErr w:type="spellStart"/>
      <w:r w:rsidRPr="00660BE2">
        <w:t>Security</w:t>
      </w:r>
      <w:proofErr w:type="spellEnd"/>
    </w:p>
    <w:p w14:paraId="4C2CBEE1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r w:rsidRPr="00660BE2">
        <w:t xml:space="preserve">IBM </w:t>
      </w:r>
      <w:proofErr w:type="spellStart"/>
      <w:r w:rsidRPr="00660BE2">
        <w:t>QRadar</w:t>
      </w:r>
      <w:proofErr w:type="spellEnd"/>
      <w:r w:rsidRPr="00660BE2">
        <w:t xml:space="preserve"> SIEM</w:t>
      </w:r>
    </w:p>
    <w:p w14:paraId="6BA398F5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proofErr w:type="spellStart"/>
      <w:r w:rsidRPr="00660BE2">
        <w:t>Tenable</w:t>
      </w:r>
      <w:proofErr w:type="spellEnd"/>
      <w:r w:rsidRPr="00660BE2">
        <w:t xml:space="preserve"> </w:t>
      </w:r>
      <w:proofErr w:type="spellStart"/>
      <w:r w:rsidRPr="00660BE2">
        <w:t>Vulnerability</w:t>
      </w:r>
      <w:proofErr w:type="spellEnd"/>
      <w:r w:rsidRPr="00660BE2">
        <w:t xml:space="preserve"> Management</w:t>
      </w:r>
    </w:p>
    <w:p w14:paraId="7E2FDA13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proofErr w:type="spellStart"/>
      <w:r w:rsidRPr="00660BE2">
        <w:t>Lansweeper</w:t>
      </w:r>
      <w:proofErr w:type="spellEnd"/>
      <w:r w:rsidRPr="00660BE2">
        <w:t xml:space="preserve"> Pro</w:t>
      </w:r>
    </w:p>
    <w:p w14:paraId="0CCDFA79" w14:textId="77777777" w:rsidR="00051586" w:rsidRPr="00660BE2" w:rsidRDefault="00051586" w:rsidP="00051586">
      <w:pPr>
        <w:pStyle w:val="Odsekzoznamu"/>
        <w:numPr>
          <w:ilvl w:val="0"/>
          <w:numId w:val="19"/>
        </w:numPr>
        <w:spacing w:after="120" w:line="278" w:lineRule="auto"/>
        <w:ind w:left="1003" w:hanging="357"/>
      </w:pPr>
      <w:proofErr w:type="spellStart"/>
      <w:r w:rsidRPr="00660BE2">
        <w:t>Progress</w:t>
      </w:r>
      <w:proofErr w:type="spellEnd"/>
      <w:r w:rsidRPr="00660BE2">
        <w:t xml:space="preserve"> </w:t>
      </w:r>
      <w:proofErr w:type="spellStart"/>
      <w:r w:rsidRPr="00660BE2">
        <w:t>Flowmon</w:t>
      </w:r>
      <w:proofErr w:type="spellEnd"/>
    </w:p>
    <w:p w14:paraId="550EB944" w14:textId="15790B0B" w:rsidR="0014399E" w:rsidRDefault="0014399E">
      <w:pPr>
        <w:spacing w:after="160" w:line="259" w:lineRule="auto"/>
      </w:pPr>
      <w:r>
        <w:br w:type="page"/>
      </w:r>
    </w:p>
    <w:p w14:paraId="30E64038" w14:textId="55D447A1" w:rsidR="00051586" w:rsidRDefault="00136757" w:rsidP="00051586">
      <w:pPr>
        <w:pStyle w:val="Odsekzoznamu"/>
        <w:numPr>
          <w:ilvl w:val="1"/>
          <w:numId w:val="5"/>
        </w:numPr>
        <w:spacing w:after="160" w:line="278" w:lineRule="auto"/>
        <w:ind w:left="851" w:hanging="567"/>
        <w:rPr>
          <w:b/>
          <w:bCs/>
        </w:rPr>
      </w:pPr>
      <w:r>
        <w:rPr>
          <w:b/>
          <w:bCs/>
        </w:rPr>
        <w:t>Rozsah požadovaných</w:t>
      </w:r>
      <w:r w:rsidR="00051586">
        <w:rPr>
          <w:b/>
          <w:bCs/>
        </w:rPr>
        <w:t xml:space="preserve"> služieb</w:t>
      </w:r>
    </w:p>
    <w:p w14:paraId="0C3A6802" w14:textId="35330277" w:rsidR="00051586" w:rsidRDefault="0014399E" w:rsidP="00051586">
      <w:pPr>
        <w:ind w:left="284"/>
        <w:rPr>
          <w:lang w:val="en-US"/>
        </w:rPr>
      </w:pPr>
      <w:r>
        <w:t xml:space="preserve">Objednávateľ </w:t>
      </w:r>
      <w:r w:rsidR="00136757">
        <w:t>rozdelil požadované služby</w:t>
      </w:r>
      <w:r w:rsidR="00051586">
        <w:t xml:space="preserve"> z oblasti prevádzky, sieťových služieb, aplikačných služieb a</w:t>
      </w:r>
      <w:r w:rsidR="00136757">
        <w:t> </w:t>
      </w:r>
      <w:r w:rsidR="00051586">
        <w:t>bezpečnosti</w:t>
      </w:r>
      <w:r w:rsidR="00136757">
        <w:t xml:space="preserve"> do paušálnych a nepaušálnych činností</w:t>
      </w:r>
      <w:r w:rsidR="00051586">
        <w:t xml:space="preserve">. </w:t>
      </w:r>
    </w:p>
    <w:p w14:paraId="79ADB7D2" w14:textId="770F56A4" w:rsidR="00136757" w:rsidRPr="00937C2A" w:rsidRDefault="00136757" w:rsidP="00136757">
      <w:pPr>
        <w:pStyle w:val="Odsekzoznamu"/>
        <w:numPr>
          <w:ilvl w:val="0"/>
          <w:numId w:val="25"/>
        </w:numPr>
      </w:pPr>
      <w:r w:rsidRPr="00937C2A">
        <w:t xml:space="preserve">Paušálne IT služby a činnosti </w:t>
      </w:r>
    </w:p>
    <w:p w14:paraId="6D823CCB" w14:textId="77777777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 xml:space="preserve">Služby IT Service </w:t>
      </w:r>
      <w:proofErr w:type="spellStart"/>
      <w:r w:rsidRPr="00937C2A">
        <w:t>Desk</w:t>
      </w:r>
      <w:proofErr w:type="spellEnd"/>
    </w:p>
    <w:p w14:paraId="610CEE44" w14:textId="77777777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správy pracovných staníc</w:t>
      </w:r>
    </w:p>
    <w:p w14:paraId="33489316" w14:textId="77777777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Tlačové služby</w:t>
      </w:r>
    </w:p>
    <w:p w14:paraId="587E1668" w14:textId="77777777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prevádzky základnej infraštruktúry</w:t>
      </w:r>
    </w:p>
    <w:p w14:paraId="2A555CBD" w14:textId="58EE1A12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 xml:space="preserve">Služby prevádzky </w:t>
      </w:r>
      <w:proofErr w:type="spellStart"/>
      <w:r w:rsidRPr="00937C2A">
        <w:t>virtualizačnej</w:t>
      </w:r>
      <w:proofErr w:type="spellEnd"/>
      <w:r w:rsidRPr="00937C2A">
        <w:t xml:space="preserve"> platformy</w:t>
      </w:r>
    </w:p>
    <w:p w14:paraId="1514FBCF" w14:textId="4A27F751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zálohovania a obnovy dát</w:t>
      </w:r>
    </w:p>
    <w:p w14:paraId="2D4F508C" w14:textId="443FF941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podpory platformy Windows Server</w:t>
      </w:r>
    </w:p>
    <w:p w14:paraId="704EA2C9" w14:textId="0498FB91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prevádzky doménových radičov</w:t>
      </w:r>
    </w:p>
    <w:p w14:paraId="632322F3" w14:textId="59256A63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  <w:rPr>
          <w:lang w:val="en-GB"/>
        </w:rPr>
      </w:pPr>
      <w:r w:rsidRPr="00937C2A">
        <w:t xml:space="preserve">Služby prevádzky </w:t>
      </w:r>
      <w:r w:rsidRPr="00937C2A">
        <w:rPr>
          <w:lang w:val="en-GB"/>
        </w:rPr>
        <w:t>Active Directory</w:t>
      </w:r>
    </w:p>
    <w:p w14:paraId="0DE46BCE" w14:textId="530F4ECD" w:rsidR="00520183" w:rsidRPr="00937C2A" w:rsidRDefault="00520183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 xml:space="preserve">Služby internej certifikačnej </w:t>
      </w:r>
      <w:r w:rsidRPr="00937C2A">
        <w:rPr>
          <w:lang w:val="en-GB"/>
        </w:rPr>
        <w:t>authority</w:t>
      </w:r>
    </w:p>
    <w:p w14:paraId="37B4C907" w14:textId="41C3C189" w:rsidR="00051586" w:rsidRPr="00937C2A" w:rsidRDefault="00051586" w:rsidP="00520183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E-mailové služby</w:t>
      </w:r>
    </w:p>
    <w:p w14:paraId="08406D9B" w14:textId="77777777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 xml:space="preserve">Služby centralizovaného úložiska dát </w:t>
      </w:r>
      <w:proofErr w:type="spellStart"/>
      <w:r w:rsidRPr="00937C2A">
        <w:t>File</w:t>
      </w:r>
      <w:proofErr w:type="spellEnd"/>
      <w:r w:rsidRPr="00937C2A">
        <w:t xml:space="preserve"> server</w:t>
      </w:r>
    </w:p>
    <w:p w14:paraId="739F84DF" w14:textId="59FADEC1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správy licencií</w:t>
      </w:r>
    </w:p>
    <w:p w14:paraId="29358D0C" w14:textId="79113D03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inštalácie SW</w:t>
      </w:r>
    </w:p>
    <w:p w14:paraId="6A605450" w14:textId="272535EA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správy mobilných zariadení MDM</w:t>
      </w:r>
    </w:p>
    <w:p w14:paraId="4DA15FB0" w14:textId="567AA2E1" w:rsidR="00693B39" w:rsidRPr="00937C2A" w:rsidRDefault="00693B39" w:rsidP="00693B39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prevádzky tímových lokalít, podpora cloudových služieb a platformy SharePoint Online</w:t>
      </w:r>
    </w:p>
    <w:p w14:paraId="1862F01D" w14:textId="77777777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Podpora cloudových služieb</w:t>
      </w:r>
    </w:p>
    <w:p w14:paraId="766326FC" w14:textId="77777777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podpory HR</w:t>
      </w:r>
    </w:p>
    <w:p w14:paraId="39410CA0" w14:textId="5924DDF0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monitoringu infraštruktúry</w:t>
      </w:r>
    </w:p>
    <w:p w14:paraId="108E3E3D" w14:textId="77777777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ochrany pred nevyžiadanou poštou</w:t>
      </w:r>
    </w:p>
    <w:p w14:paraId="2E621A50" w14:textId="77777777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podpory používateľov kancelárskeho balíka MS Office 365</w:t>
      </w:r>
    </w:p>
    <w:p w14:paraId="585CC2DD" w14:textId="727114DB" w:rsidR="00967BE8" w:rsidRPr="00937C2A" w:rsidRDefault="00967BE8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 xml:space="preserve">Služba správy bezpečnej prevádzky </w:t>
      </w:r>
      <w:r w:rsidRPr="00937C2A">
        <w:rPr>
          <w:lang w:val="en-GB"/>
        </w:rPr>
        <w:t>Endpoints</w:t>
      </w:r>
      <w:r w:rsidRPr="00937C2A">
        <w:t xml:space="preserve"> a BI</w:t>
      </w:r>
    </w:p>
    <w:p w14:paraId="5D952D61" w14:textId="77777777" w:rsidR="00D93035" w:rsidRPr="00937C2A" w:rsidRDefault="00051586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Patch management</w:t>
      </w:r>
    </w:p>
    <w:p w14:paraId="37505624" w14:textId="35807066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reverzného proxy</w:t>
      </w:r>
    </w:p>
    <w:p w14:paraId="06BC5BB4" w14:textId="77777777" w:rsidR="00D93035" w:rsidRPr="00937C2A" w:rsidRDefault="00967BE8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správy a údržby videokonferencií</w:t>
      </w:r>
    </w:p>
    <w:p w14:paraId="353D81ED" w14:textId="31223E1B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 xml:space="preserve">Správa a údržba UPS pre sieťovú infraštruktúru – </w:t>
      </w:r>
    </w:p>
    <w:p w14:paraId="34251BE7" w14:textId="02E56417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správy brány firewall</w:t>
      </w:r>
    </w:p>
    <w:p w14:paraId="46B3A0B3" w14:textId="77777777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Správa sieťovej infraštruktúry</w:t>
      </w:r>
    </w:p>
    <w:p w14:paraId="749DE399" w14:textId="77777777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riadenia prístupu k sieťovej infraštruktúre Cisco ISE</w:t>
      </w:r>
    </w:p>
    <w:p w14:paraId="232A598F" w14:textId="77777777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Správa autoritatívneho DNS</w:t>
      </w:r>
    </w:p>
    <w:p w14:paraId="760B8173" w14:textId="2C88500D" w:rsidR="00D93035" w:rsidRPr="00937C2A" w:rsidRDefault="00D93035" w:rsidP="00D9303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registrácie</w:t>
      </w:r>
      <w:r w:rsidR="00660BE2" w:rsidRPr="00937C2A">
        <w:t xml:space="preserve"> a správy</w:t>
      </w:r>
      <w:r w:rsidRPr="00937C2A">
        <w:t xml:space="preserve"> domén</w:t>
      </w:r>
    </w:p>
    <w:p w14:paraId="5532D527" w14:textId="77777777" w:rsidR="0004471F" w:rsidRPr="00937C2A" w:rsidRDefault="00D93035" w:rsidP="0004471F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mobilnej telefónie</w:t>
      </w:r>
    </w:p>
    <w:p w14:paraId="604070E9" w14:textId="77777777" w:rsidR="0004471F" w:rsidRPr="00937C2A" w:rsidRDefault="0004471F" w:rsidP="0004471F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internetového pripojenia</w:t>
      </w:r>
    </w:p>
    <w:p w14:paraId="1D7A4ED4" w14:textId="77777777" w:rsidR="0004471F" w:rsidRPr="00937C2A" w:rsidRDefault="0004471F" w:rsidP="0004471F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správy telekomunikačných povolení</w:t>
      </w:r>
    </w:p>
    <w:p w14:paraId="1391CDC6" w14:textId="77777777" w:rsidR="0004471F" w:rsidRPr="00937C2A" w:rsidRDefault="0004471F" w:rsidP="0004471F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Wi-Fi</w:t>
      </w:r>
    </w:p>
    <w:p w14:paraId="2534F60C" w14:textId="30D1F153" w:rsidR="0004471F" w:rsidRPr="00937C2A" w:rsidRDefault="0004471F" w:rsidP="0004471F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Služby podpory ERP SAP</w:t>
      </w:r>
    </w:p>
    <w:p w14:paraId="1E23C76B" w14:textId="0B1C76BC" w:rsidR="00F707F5" w:rsidRPr="00937C2A" w:rsidRDefault="00F707F5" w:rsidP="00F707F5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Správa privilegovaných prístupov</w:t>
      </w:r>
    </w:p>
    <w:p w14:paraId="74A2F63F" w14:textId="493F6B62" w:rsidR="00F707F5" w:rsidRPr="00937C2A" w:rsidRDefault="0064140D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Riešenie bezpečnosti IT infraštruktúry</w:t>
      </w:r>
    </w:p>
    <w:p w14:paraId="5147D572" w14:textId="27E180A0" w:rsidR="00A26C5A" w:rsidRPr="00937C2A" w:rsidRDefault="00A26C5A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Služba správy digitálnych certifikátov</w:t>
      </w:r>
    </w:p>
    <w:p w14:paraId="39ABA554" w14:textId="2AB2A9B2" w:rsidR="00A26C5A" w:rsidRPr="00937C2A" w:rsidRDefault="00CE47B3" w:rsidP="00967BE8">
      <w:pPr>
        <w:pStyle w:val="Odsekzoznamu"/>
        <w:numPr>
          <w:ilvl w:val="1"/>
          <w:numId w:val="20"/>
        </w:numPr>
        <w:spacing w:after="120" w:line="240" w:lineRule="auto"/>
      </w:pPr>
      <w:r w:rsidRPr="00937C2A">
        <w:t>Programové vybavenie</w:t>
      </w:r>
    </w:p>
    <w:p w14:paraId="750B28F1" w14:textId="1BE60C2B" w:rsidR="009F3D2A" w:rsidRPr="00937C2A" w:rsidRDefault="009F3D2A">
      <w:pPr>
        <w:spacing w:after="160" w:line="259" w:lineRule="auto"/>
      </w:pPr>
      <w:r w:rsidRPr="00937C2A">
        <w:br w:type="page"/>
      </w:r>
    </w:p>
    <w:p w14:paraId="70AA0B91" w14:textId="6ACE018A" w:rsidR="00136757" w:rsidRPr="00937C2A" w:rsidRDefault="00136757" w:rsidP="00136757">
      <w:pPr>
        <w:pStyle w:val="Odsekzoznamu"/>
        <w:numPr>
          <w:ilvl w:val="0"/>
          <w:numId w:val="25"/>
        </w:numPr>
      </w:pPr>
      <w:r w:rsidRPr="00937C2A">
        <w:t xml:space="preserve">Nepaušálne IT služby a činnosti </w:t>
      </w:r>
    </w:p>
    <w:p w14:paraId="43500A5B" w14:textId="77777777" w:rsidR="00136757" w:rsidRPr="00937C2A" w:rsidRDefault="00136757" w:rsidP="00F707F5">
      <w:pPr>
        <w:pStyle w:val="Odsekzoznamu"/>
        <w:spacing w:after="120" w:line="240" w:lineRule="auto"/>
        <w:ind w:left="360"/>
      </w:pPr>
    </w:p>
    <w:p w14:paraId="28BC481E" w14:textId="7B383CD9" w:rsidR="00051586" w:rsidRPr="00937C2A" w:rsidRDefault="00CE47B3" w:rsidP="00051586">
      <w:pPr>
        <w:pStyle w:val="Odsekzoznamu"/>
        <w:spacing w:after="120" w:line="240" w:lineRule="auto"/>
        <w:ind w:left="1004"/>
      </w:pPr>
      <w:r w:rsidRPr="00937C2A">
        <w:t>2.1. Služby konzultácií v oblasti prevádzky infraštruktúry</w:t>
      </w:r>
    </w:p>
    <w:p w14:paraId="0E71A806" w14:textId="020E5750" w:rsidR="00CE47B3" w:rsidRPr="00937C2A" w:rsidRDefault="00CE47B3" w:rsidP="00051586">
      <w:pPr>
        <w:pStyle w:val="Odsekzoznamu"/>
        <w:spacing w:after="120" w:line="240" w:lineRule="auto"/>
        <w:ind w:left="1004"/>
      </w:pPr>
      <w:r w:rsidRPr="00937C2A">
        <w:t xml:space="preserve">2.2. Služby IT plánovania a rozpočtovania a </w:t>
      </w:r>
      <w:r w:rsidRPr="00937C2A">
        <w:rPr>
          <w:lang w:val="en-GB"/>
        </w:rPr>
        <w:t>reporting</w:t>
      </w:r>
    </w:p>
    <w:p w14:paraId="1B773357" w14:textId="77777777" w:rsidR="00CE47B3" w:rsidRPr="00937C2A" w:rsidRDefault="00CE47B3" w:rsidP="00CE47B3">
      <w:pPr>
        <w:pStyle w:val="Odsekzoznamu"/>
        <w:spacing w:after="120" w:line="240" w:lineRule="auto"/>
        <w:ind w:left="1004"/>
      </w:pPr>
      <w:r w:rsidRPr="00937C2A">
        <w:t>2.3. Služby konzultácií v oblasti sieťových technológií</w:t>
      </w:r>
    </w:p>
    <w:p w14:paraId="2C6596BC" w14:textId="22267CF7" w:rsidR="00CE47B3" w:rsidRPr="00937C2A" w:rsidRDefault="00CE47B3" w:rsidP="00CE47B3">
      <w:pPr>
        <w:pStyle w:val="Odsekzoznamu"/>
        <w:spacing w:after="120" w:line="240" w:lineRule="auto"/>
        <w:ind w:left="1004"/>
      </w:pPr>
      <w:r w:rsidRPr="00937C2A">
        <w:t>2.4. Služby poradenstva v oblasti informačnej bezpečnosti</w:t>
      </w:r>
    </w:p>
    <w:p w14:paraId="3165E096" w14:textId="77777777" w:rsidR="00CE47B3" w:rsidRPr="008247A7" w:rsidRDefault="00CE47B3" w:rsidP="00051586">
      <w:pPr>
        <w:pStyle w:val="Odsekzoznamu"/>
        <w:spacing w:after="120" w:line="240" w:lineRule="auto"/>
        <w:ind w:left="1004"/>
        <w:rPr>
          <w:lang w:val="en-US"/>
        </w:rPr>
      </w:pPr>
    </w:p>
    <w:p w14:paraId="5A277A5E" w14:textId="25C0CDBF" w:rsidR="00051586" w:rsidRPr="00D827F4" w:rsidRDefault="00051586" w:rsidP="00734737">
      <w:pPr>
        <w:spacing w:after="120" w:line="240" w:lineRule="auto"/>
        <w:ind w:left="284"/>
        <w:jc w:val="both"/>
        <w:rPr>
          <w:i/>
          <w:iCs/>
          <w:lang w:val="en-US"/>
        </w:rPr>
      </w:pPr>
      <w:proofErr w:type="spellStart"/>
      <w:r w:rsidRPr="00D827F4">
        <w:rPr>
          <w:i/>
          <w:iCs/>
          <w:lang w:val="en-US"/>
        </w:rPr>
        <w:t>Detailn</w:t>
      </w:r>
      <w:proofErr w:type="spellEnd"/>
      <w:r w:rsidRPr="00D827F4">
        <w:rPr>
          <w:i/>
          <w:iCs/>
        </w:rPr>
        <w:t xml:space="preserve">ý popis jednotlivých služieb </w:t>
      </w:r>
      <w:r w:rsidR="0014399E">
        <w:rPr>
          <w:i/>
          <w:iCs/>
        </w:rPr>
        <w:t xml:space="preserve">je uvedený </w:t>
      </w:r>
      <w:r w:rsidRPr="00D827F4">
        <w:rPr>
          <w:i/>
          <w:iCs/>
        </w:rPr>
        <w:t>v</w:t>
      </w:r>
      <w:r w:rsidR="0014399E">
        <w:rPr>
          <w:i/>
          <w:iCs/>
        </w:rPr>
        <w:t> </w:t>
      </w:r>
      <w:r w:rsidRPr="00D827F4">
        <w:rPr>
          <w:i/>
          <w:iCs/>
        </w:rPr>
        <w:t>Príloha</w:t>
      </w:r>
      <w:r w:rsidR="0014399E">
        <w:rPr>
          <w:i/>
          <w:iCs/>
        </w:rPr>
        <w:t xml:space="preserve"> č.</w:t>
      </w:r>
      <w:r w:rsidR="00F125D5">
        <w:rPr>
          <w:i/>
          <w:iCs/>
        </w:rPr>
        <w:t>2</w:t>
      </w:r>
      <w:r w:rsidRPr="00D827F4">
        <w:rPr>
          <w:i/>
          <w:iCs/>
        </w:rPr>
        <w:t xml:space="preserve"> – </w:t>
      </w:r>
      <w:r w:rsidR="002851B8">
        <w:t>Katalóg paušálnych a nepaušálnych IT činností a služieb</w:t>
      </w:r>
    </w:p>
    <w:p w14:paraId="5D35F1D5" w14:textId="77777777" w:rsidR="00051586" w:rsidRDefault="00051586" w:rsidP="00051586">
      <w:pPr>
        <w:spacing w:after="0" w:line="240" w:lineRule="auto"/>
        <w:jc w:val="both"/>
      </w:pPr>
    </w:p>
    <w:p w14:paraId="5E25D62A" w14:textId="77777777" w:rsidR="00937C2A" w:rsidRDefault="00937C2A" w:rsidP="00051586">
      <w:pPr>
        <w:spacing w:after="0" w:line="240" w:lineRule="auto"/>
        <w:jc w:val="both"/>
      </w:pPr>
    </w:p>
    <w:p w14:paraId="4D6405AF" w14:textId="77777777" w:rsidR="00937C2A" w:rsidRDefault="00937C2A" w:rsidP="00051586">
      <w:pPr>
        <w:spacing w:after="0" w:line="240" w:lineRule="auto"/>
        <w:jc w:val="both"/>
      </w:pPr>
    </w:p>
    <w:p w14:paraId="69469BD6" w14:textId="77777777" w:rsidR="00937C2A" w:rsidRDefault="00937C2A" w:rsidP="00051586">
      <w:pPr>
        <w:spacing w:after="0" w:line="240" w:lineRule="auto"/>
        <w:jc w:val="both"/>
      </w:pPr>
    </w:p>
    <w:p w14:paraId="78F69CE3" w14:textId="197436C1" w:rsidR="000E2946" w:rsidRPr="00734737" w:rsidRDefault="000E2946" w:rsidP="00734737">
      <w:pPr>
        <w:pStyle w:val="Odsekzoznamu"/>
        <w:numPr>
          <w:ilvl w:val="0"/>
          <w:numId w:val="5"/>
        </w:numPr>
        <w:jc w:val="both"/>
        <w:rPr>
          <w:b/>
          <w:bCs/>
          <w:u w:val="single"/>
        </w:rPr>
      </w:pPr>
      <w:r w:rsidRPr="00734737">
        <w:rPr>
          <w:b/>
          <w:bCs/>
          <w:u w:val="single"/>
        </w:rPr>
        <w:t xml:space="preserve">Výstupy </w:t>
      </w:r>
      <w:r w:rsidR="00734737">
        <w:rPr>
          <w:b/>
          <w:bCs/>
          <w:u w:val="single"/>
        </w:rPr>
        <w:t xml:space="preserve">z </w:t>
      </w:r>
      <w:r w:rsidRPr="00734737">
        <w:rPr>
          <w:b/>
          <w:bCs/>
          <w:u w:val="single"/>
        </w:rPr>
        <w:t xml:space="preserve">požadovaných služieb </w:t>
      </w:r>
      <w:r w:rsidR="00734737">
        <w:rPr>
          <w:b/>
          <w:bCs/>
          <w:u w:val="single"/>
        </w:rPr>
        <w:t>a mesačné vyhodnocovanie poskytovaných IT činností a služieb</w:t>
      </w:r>
    </w:p>
    <w:p w14:paraId="27EDB58A" w14:textId="77777777" w:rsidR="000E2946" w:rsidRDefault="000E2946" w:rsidP="000E2946">
      <w:pPr>
        <w:pStyle w:val="Odsekzoznamu"/>
        <w:jc w:val="both"/>
      </w:pPr>
    </w:p>
    <w:p w14:paraId="6377454D" w14:textId="3C14CBC6" w:rsidR="00734737" w:rsidRDefault="00734737" w:rsidP="000E2946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 xml:space="preserve">Po skončení mesiaca Poskytovateľ do 5 pracovných dní zašle report s odpracovanými hodinami v jednotlivých oblastiach </w:t>
      </w:r>
      <w:r w:rsidR="00F86635">
        <w:t>O</w:t>
      </w:r>
      <w:r>
        <w:t>bjednávateľovi,</w:t>
      </w:r>
    </w:p>
    <w:p w14:paraId="655A3963" w14:textId="1B662737" w:rsidR="000E2946" w:rsidRPr="003E72EA" w:rsidRDefault="00734737" w:rsidP="000E2946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 xml:space="preserve">Po skončení mesiaca Poskytovateľ do 7 pracovných dní zašle report stavu riešených </w:t>
      </w:r>
      <w:proofErr w:type="spellStart"/>
      <w:r>
        <w:t>ticketov</w:t>
      </w:r>
      <w:proofErr w:type="spellEnd"/>
      <w:r>
        <w:t xml:space="preserve"> (ServiceDesk, telefonické a mailové žiadosti a pod.) za predchádzajúci mesiac v súlade s KPI, vrátane nevyriešených </w:t>
      </w:r>
      <w:proofErr w:type="spellStart"/>
      <w:r>
        <w:t>ticketov</w:t>
      </w:r>
      <w:proofErr w:type="spellEnd"/>
      <w:r>
        <w:t xml:space="preserve"> z predchádzajúcich mesiacov</w:t>
      </w:r>
      <w:r w:rsidR="00F86635">
        <w:t xml:space="preserve"> Objednávateľovi,</w:t>
      </w:r>
    </w:p>
    <w:p w14:paraId="1CF13E37" w14:textId="60498965" w:rsidR="00734737" w:rsidRDefault="00734737" w:rsidP="000E2946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>Po skončení mesiaca Poskytovateľ do 7 pracovných dní zašle report</w:t>
      </w:r>
      <w:r w:rsidR="00F86635">
        <w:t xml:space="preserve"> so stavom</w:t>
      </w:r>
      <w:r>
        <w:t xml:space="preserve"> </w:t>
      </w:r>
      <w:r w:rsidR="00F86635">
        <w:t>riešených bezpečnostných incidentov Objednávateľovi,</w:t>
      </w:r>
    </w:p>
    <w:p w14:paraId="7EB0030E" w14:textId="7B8E85BC" w:rsidR="000E2946" w:rsidRDefault="000E2946" w:rsidP="000E2946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 xml:space="preserve">Iné ad-hoc výstupy na základe dohody </w:t>
      </w:r>
      <w:r w:rsidR="00734737">
        <w:t>Poskytovateľa</w:t>
      </w:r>
      <w:r>
        <w:t xml:space="preserve"> a</w:t>
      </w:r>
      <w:r w:rsidR="00F86635">
        <w:t> </w:t>
      </w:r>
      <w:r>
        <w:t>Objednávateľa</w:t>
      </w:r>
      <w:r w:rsidR="00F86635">
        <w:t>.</w:t>
      </w:r>
    </w:p>
    <w:p w14:paraId="798B65B2" w14:textId="77777777" w:rsidR="00051586" w:rsidRPr="00322A26" w:rsidRDefault="00051586" w:rsidP="00051586">
      <w:pPr>
        <w:spacing w:after="0" w:line="240" w:lineRule="auto"/>
        <w:jc w:val="both"/>
      </w:pPr>
    </w:p>
    <w:p w14:paraId="33B1B07F" w14:textId="77777777" w:rsidR="00934690" w:rsidRDefault="00934690" w:rsidP="00934690">
      <w:pPr>
        <w:ind w:left="360"/>
        <w:jc w:val="both"/>
      </w:pPr>
    </w:p>
    <w:p w14:paraId="3C1D8B03" w14:textId="77777777" w:rsidR="00AB51CE" w:rsidRDefault="00AB51CE" w:rsidP="00235BBA"/>
    <w:p w14:paraId="712E1016" w14:textId="4A4B82FD" w:rsidR="00BE2055" w:rsidRDefault="00BE2055" w:rsidP="00235BBA"/>
    <w:sectPr w:rsidR="00BE2055" w:rsidSect="00937C2A">
      <w:headerReference w:type="default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0F29" w14:textId="77777777" w:rsidR="00AA219C" w:rsidRDefault="00AA219C" w:rsidP="00AA219C">
      <w:pPr>
        <w:spacing w:after="0" w:line="240" w:lineRule="auto"/>
      </w:pPr>
      <w:r>
        <w:separator/>
      </w:r>
    </w:p>
  </w:endnote>
  <w:endnote w:type="continuationSeparator" w:id="0">
    <w:p w14:paraId="5F10F182" w14:textId="77777777" w:rsidR="00AA219C" w:rsidRDefault="00AA219C" w:rsidP="00AA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4DB0" w14:textId="77777777" w:rsidR="00AA219C" w:rsidRDefault="00AA219C" w:rsidP="00AA219C">
    <w:pPr>
      <w:pStyle w:val="Pta"/>
      <w:jc w:val="both"/>
      <w:rPr>
        <w:rFonts w:ascii="Calibri" w:hAnsi="Calibri" w:cs="Calibri"/>
        <w:b/>
        <w:bCs/>
        <w:sz w:val="15"/>
        <w:szCs w:val="15"/>
      </w:rPr>
    </w:pPr>
  </w:p>
  <w:p w14:paraId="27E6CF34" w14:textId="77777777" w:rsidR="00AA219C" w:rsidRDefault="00AA219C" w:rsidP="00AA219C">
    <w:pPr>
      <w:pStyle w:val="Pta"/>
      <w:jc w:val="both"/>
      <w:rPr>
        <w:rFonts w:ascii="Calibri" w:hAnsi="Calibri" w:cs="Calibri"/>
        <w:b/>
        <w:bCs/>
        <w:sz w:val="15"/>
        <w:szCs w:val="15"/>
      </w:rPr>
    </w:pPr>
  </w:p>
  <w:p w14:paraId="3FB9B23B" w14:textId="65C09EFD" w:rsidR="00AA219C" w:rsidRPr="00C94A84" w:rsidRDefault="00AA219C" w:rsidP="00AA219C">
    <w:pPr>
      <w:pStyle w:val="Pta"/>
      <w:jc w:val="both"/>
      <w:rPr>
        <w:sz w:val="15"/>
        <w:szCs w:val="15"/>
      </w:rPr>
    </w:pPr>
    <w:r w:rsidRPr="00C94A84">
      <w:rPr>
        <w:rFonts w:ascii="Calibri" w:hAnsi="Calibri" w:cs="Calibri"/>
        <w:b/>
        <w:bCs/>
        <w:sz w:val="15"/>
        <w:szCs w:val="15"/>
      </w:rPr>
      <w:t>NAFTA Production s. r. o.</w:t>
    </w:r>
    <w:r>
      <w:rPr>
        <w:rFonts w:ascii="Calibri" w:hAnsi="Calibri" w:cs="Calibri"/>
        <w:b/>
        <w:bCs/>
        <w:sz w:val="15"/>
        <w:szCs w:val="15"/>
      </w:rPr>
      <w:t xml:space="preserve"> | </w:t>
    </w:r>
    <w:r w:rsidRPr="00C94A84">
      <w:rPr>
        <w:color w:val="71BE43"/>
        <w:sz w:val="15"/>
        <w:szCs w:val="15"/>
      </w:rPr>
      <w:t>Adresa:</w:t>
    </w:r>
    <w:r w:rsidRPr="00C94A84">
      <w:rPr>
        <w:sz w:val="15"/>
        <w:szCs w:val="15"/>
      </w:rPr>
      <w:t xml:space="preserve"> Mlynské nivy 44/c, 821 09 Bratislava, Slovenská republika | </w:t>
    </w:r>
    <w:r w:rsidRPr="00FE2A64">
      <w:rPr>
        <w:color w:val="71BE43"/>
        <w:sz w:val="15"/>
        <w:szCs w:val="15"/>
      </w:rPr>
      <w:t>t:</w:t>
    </w:r>
    <w:r>
      <w:rPr>
        <w:rFonts w:ascii="Arial" w:hAnsi="Arial" w:cs="Arial"/>
        <w:noProof/>
        <w:color w:val="83B81A"/>
        <w:sz w:val="18"/>
        <w:szCs w:val="18"/>
        <w:lang w:val="en-US"/>
      </w:rPr>
      <w:t xml:space="preserve"> </w:t>
    </w:r>
    <w:r w:rsidRPr="00FE2A64">
      <w:rPr>
        <w:sz w:val="15"/>
        <w:szCs w:val="15"/>
      </w:rPr>
      <w:t>+421</w:t>
    </w:r>
    <w:r>
      <w:rPr>
        <w:sz w:val="15"/>
        <w:szCs w:val="15"/>
      </w:rPr>
      <w:t> 905 836 761</w:t>
    </w:r>
    <w:r w:rsidRPr="00C94A84">
      <w:rPr>
        <w:sz w:val="15"/>
        <w:szCs w:val="15"/>
      </w:rPr>
      <w:t xml:space="preserve"> | </w:t>
    </w:r>
    <w:r>
      <w:rPr>
        <w:color w:val="71BE43"/>
        <w:sz w:val="15"/>
        <w:szCs w:val="15"/>
      </w:rPr>
      <w:t>e</w:t>
    </w:r>
    <w:r w:rsidRPr="00C94A84">
      <w:rPr>
        <w:color w:val="71BE43"/>
        <w:sz w:val="15"/>
        <w:szCs w:val="15"/>
      </w:rPr>
      <w:t>:</w:t>
    </w:r>
    <w:r w:rsidRPr="00C94A84">
      <w:rPr>
        <w:sz w:val="15"/>
        <w:szCs w:val="15"/>
      </w:rPr>
      <w:t xml:space="preserve"> </w:t>
    </w:r>
    <w:hyperlink r:id="rId1" w:tgtFrame="_blank" w:history="1">
      <w:r w:rsidRPr="00C94A84">
        <w:rPr>
          <w:rStyle w:val="Hypertextovprepojenie"/>
          <w:sz w:val="15"/>
          <w:szCs w:val="15"/>
        </w:rPr>
        <w:t>info@nafta-production.sk</w:t>
      </w:r>
    </w:hyperlink>
    <w:r>
      <w:rPr>
        <w:sz w:val="15"/>
        <w:szCs w:val="15"/>
      </w:rPr>
      <w:t xml:space="preserve"> </w:t>
    </w:r>
    <w:hyperlink r:id="rId2" w:history="1">
      <w:r w:rsidRPr="00C94A84">
        <w:rPr>
          <w:rStyle w:val="Hypertextovprepojenie"/>
          <w:sz w:val="15"/>
          <w:szCs w:val="15"/>
        </w:rPr>
        <w:t>www.nafta-production.sk</w:t>
      </w:r>
    </w:hyperlink>
    <w:r w:rsidRPr="00C94A84">
      <w:rPr>
        <w:sz w:val="15"/>
        <w:szCs w:val="15"/>
      </w:rPr>
      <w:t xml:space="preserve"> </w:t>
    </w:r>
    <w:r>
      <w:rPr>
        <w:sz w:val="15"/>
        <w:szCs w:val="15"/>
      </w:rPr>
      <w:t>|</w:t>
    </w:r>
    <w:r w:rsidRPr="00C94A84">
      <w:rPr>
        <w:sz w:val="15"/>
        <w:szCs w:val="15"/>
      </w:rPr>
      <w:t xml:space="preserve"> Obchodný register Mestského súdu Bratislava III, oddiel: </w:t>
    </w:r>
    <w:proofErr w:type="spellStart"/>
    <w:r w:rsidRPr="00C94A84">
      <w:rPr>
        <w:sz w:val="15"/>
        <w:szCs w:val="15"/>
      </w:rPr>
      <w:t>Sro</w:t>
    </w:r>
    <w:proofErr w:type="spellEnd"/>
    <w:r w:rsidRPr="00C94A84">
      <w:rPr>
        <w:sz w:val="15"/>
        <w:szCs w:val="15"/>
      </w:rPr>
      <w:t xml:space="preserve">, vložka č. 179997/B | </w:t>
    </w:r>
    <w:r w:rsidRPr="00301F80">
      <w:rPr>
        <w:color w:val="92D050"/>
        <w:sz w:val="15"/>
        <w:szCs w:val="15"/>
      </w:rPr>
      <w:t>IČO</w:t>
    </w:r>
    <w:r w:rsidRPr="00C94A84">
      <w:rPr>
        <w:sz w:val="15"/>
        <w:szCs w:val="15"/>
      </w:rPr>
      <w:t xml:space="preserve"> 56369476 </w:t>
    </w:r>
    <w:r>
      <w:rPr>
        <w:sz w:val="15"/>
        <w:szCs w:val="15"/>
      </w:rPr>
      <w:t xml:space="preserve">| </w:t>
    </w:r>
    <w:r w:rsidRPr="00C94A84">
      <w:rPr>
        <w:color w:val="71BE43"/>
        <w:sz w:val="15"/>
        <w:szCs w:val="15"/>
      </w:rPr>
      <w:t xml:space="preserve">DIČ </w:t>
    </w:r>
    <w:r w:rsidRPr="00C94A84">
      <w:rPr>
        <w:sz w:val="15"/>
        <w:szCs w:val="15"/>
      </w:rPr>
      <w:t>2122294966</w:t>
    </w:r>
    <w:r>
      <w:rPr>
        <w:sz w:val="15"/>
        <w:szCs w:val="15"/>
      </w:rPr>
      <w:t>|</w:t>
    </w:r>
    <w:r w:rsidR="00937C2A">
      <w:rPr>
        <w:sz w:val="15"/>
        <w:szCs w:val="15"/>
      </w:rPr>
      <w:t xml:space="preserve"> </w:t>
    </w:r>
    <w:r w:rsidRPr="002D19B3">
      <w:rPr>
        <w:color w:val="71BE43"/>
        <w:sz w:val="15"/>
        <w:szCs w:val="15"/>
      </w:rPr>
      <w:t>IČ DPH</w:t>
    </w:r>
    <w:r w:rsidRPr="00C94A84">
      <w:rPr>
        <w:color w:val="71BE43"/>
        <w:sz w:val="15"/>
        <w:szCs w:val="15"/>
      </w:rPr>
      <w:t xml:space="preserve"> </w:t>
    </w:r>
    <w:r w:rsidRPr="002D19B3">
      <w:rPr>
        <w:sz w:val="15"/>
        <w:szCs w:val="15"/>
      </w:rPr>
      <w:t>SK</w:t>
    </w:r>
    <w:r w:rsidRPr="00C94A84">
      <w:rPr>
        <w:sz w:val="15"/>
        <w:szCs w:val="15"/>
      </w:rPr>
      <w:t>21222949</w:t>
    </w:r>
    <w:r>
      <w:rPr>
        <w:sz w:val="15"/>
        <w:szCs w:val="15"/>
      </w:rPr>
      <w:t>6</w:t>
    </w:r>
    <w:r w:rsidRPr="00C94A84">
      <w:rPr>
        <w:sz w:val="15"/>
        <w:szCs w:val="15"/>
      </w:rPr>
      <w:t>6</w:t>
    </w:r>
    <w:r>
      <w:rPr>
        <w:sz w:val="15"/>
        <w:szCs w:val="15"/>
      </w:rPr>
      <w:t xml:space="preserve"> </w:t>
    </w:r>
    <w:r w:rsidRPr="00C94A84">
      <w:rPr>
        <w:sz w:val="15"/>
        <w:szCs w:val="15"/>
      </w:rPr>
      <w:t>|</w:t>
    </w:r>
    <w:r>
      <w:rPr>
        <w:sz w:val="15"/>
        <w:szCs w:val="15"/>
      </w:rPr>
      <w:t xml:space="preserve"> </w:t>
    </w:r>
    <w:r w:rsidRPr="00C94A84">
      <w:rPr>
        <w:sz w:val="15"/>
        <w:szCs w:val="15"/>
      </w:rPr>
      <w:t xml:space="preserve">Všeobecná úverová Banka a.s. Mlynské nivy 1, 829 90 Bratislava | </w:t>
    </w:r>
    <w:r w:rsidRPr="00C94A84">
      <w:rPr>
        <w:color w:val="71BE43"/>
        <w:sz w:val="15"/>
        <w:szCs w:val="15"/>
      </w:rPr>
      <w:t>IBAN</w:t>
    </w:r>
    <w:r w:rsidRPr="00C94A84">
      <w:rPr>
        <w:sz w:val="15"/>
        <w:szCs w:val="15"/>
      </w:rPr>
      <w:t xml:space="preserve"> SK09 0200 0000 0050 5921 3556 | </w:t>
    </w:r>
    <w:r w:rsidRPr="00C94A84">
      <w:rPr>
        <w:color w:val="71BE43"/>
        <w:sz w:val="15"/>
        <w:szCs w:val="15"/>
      </w:rPr>
      <w:t xml:space="preserve">SWIFT </w:t>
    </w:r>
    <w:r w:rsidRPr="00C94A84">
      <w:rPr>
        <w:sz w:val="15"/>
        <w:szCs w:val="15"/>
      </w:rPr>
      <w:t>SUBASKBX</w:t>
    </w:r>
  </w:p>
  <w:p w14:paraId="51F7695C" w14:textId="77777777" w:rsidR="00AA219C" w:rsidRPr="00C94A84" w:rsidRDefault="00AA219C" w:rsidP="00AA219C">
    <w:pPr>
      <w:pStyle w:val="Pta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9952" w14:textId="77777777" w:rsidR="00AA219C" w:rsidRDefault="00AA219C" w:rsidP="00AA219C">
      <w:pPr>
        <w:spacing w:after="0" w:line="240" w:lineRule="auto"/>
      </w:pPr>
      <w:r>
        <w:separator/>
      </w:r>
    </w:p>
  </w:footnote>
  <w:footnote w:type="continuationSeparator" w:id="0">
    <w:p w14:paraId="13CFD451" w14:textId="77777777" w:rsidR="00AA219C" w:rsidRDefault="00AA219C" w:rsidP="00AA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CCAA" w14:textId="77777777" w:rsidR="00AA219C" w:rsidRDefault="00AA219C" w:rsidP="00AA219C">
    <w:pPr>
      <w:pStyle w:val="Hlavika"/>
    </w:pPr>
    <w:r>
      <w:rPr>
        <w:noProof/>
      </w:rPr>
      <w:drawing>
        <wp:inline distT="0" distB="0" distL="0" distR="0" wp14:anchorId="5EB5670E" wp14:editId="703F60FF">
          <wp:extent cx="551319" cy="423334"/>
          <wp:effectExtent l="0" t="0" r="0" b="0"/>
          <wp:docPr id="53867330" name="Obrázok 1" descr="Obrázok, na ktorom je písmo, snímka obrazovky, grafika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06483" name="Obrázok 1" descr="Obrázok, na ktorom je písmo, snímka obrazovky, grafika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58" cy="4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C849A" w14:textId="77777777" w:rsidR="00AA219C" w:rsidRDefault="00AA21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0EC"/>
    <w:multiLevelType w:val="hybridMultilevel"/>
    <w:tmpl w:val="D3DE7A58"/>
    <w:lvl w:ilvl="0" w:tplc="36C44B6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0931FA"/>
    <w:multiLevelType w:val="hybridMultilevel"/>
    <w:tmpl w:val="0408F1B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1694B"/>
    <w:multiLevelType w:val="multilevel"/>
    <w:tmpl w:val="8D14BE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156E525D"/>
    <w:multiLevelType w:val="multilevel"/>
    <w:tmpl w:val="122EAA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A63D9"/>
    <w:multiLevelType w:val="multilevel"/>
    <w:tmpl w:val="985A1F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1BC34BC1"/>
    <w:multiLevelType w:val="hybridMultilevel"/>
    <w:tmpl w:val="B9C2E38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6450F7"/>
    <w:multiLevelType w:val="hybridMultilevel"/>
    <w:tmpl w:val="EB141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72D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D64C4"/>
    <w:multiLevelType w:val="multilevel"/>
    <w:tmpl w:val="01EC3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AD4CC5"/>
    <w:multiLevelType w:val="multilevel"/>
    <w:tmpl w:val="AD621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0" w15:restartNumberingAfterBreak="0">
    <w:nsid w:val="2A00C482"/>
    <w:multiLevelType w:val="multilevel"/>
    <w:tmpl w:val="BAC6D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1" w15:restartNumberingAfterBreak="0">
    <w:nsid w:val="31234D23"/>
    <w:multiLevelType w:val="hybridMultilevel"/>
    <w:tmpl w:val="0004FF86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3A9F35EC"/>
    <w:multiLevelType w:val="multilevel"/>
    <w:tmpl w:val="D6949EC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E1F716D"/>
    <w:multiLevelType w:val="multilevel"/>
    <w:tmpl w:val="6598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4" w15:restartNumberingAfterBreak="0">
    <w:nsid w:val="46DC34D4"/>
    <w:multiLevelType w:val="hybridMultilevel"/>
    <w:tmpl w:val="AB78CBD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A96122D"/>
    <w:multiLevelType w:val="hybridMultilevel"/>
    <w:tmpl w:val="0BD674C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121856"/>
    <w:multiLevelType w:val="hybridMultilevel"/>
    <w:tmpl w:val="AE7C4698"/>
    <w:lvl w:ilvl="0" w:tplc="CC94C70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554759"/>
    <w:multiLevelType w:val="multilevel"/>
    <w:tmpl w:val="D9FC5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ECC629C"/>
    <w:multiLevelType w:val="multilevel"/>
    <w:tmpl w:val="918E75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4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9" w15:restartNumberingAfterBreak="0">
    <w:nsid w:val="71134310"/>
    <w:multiLevelType w:val="multilevel"/>
    <w:tmpl w:val="22C894A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1C67A08"/>
    <w:multiLevelType w:val="multilevel"/>
    <w:tmpl w:val="8BC8F9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75AB6360"/>
    <w:multiLevelType w:val="multilevel"/>
    <w:tmpl w:val="6F02FE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71C3312"/>
    <w:multiLevelType w:val="multilevel"/>
    <w:tmpl w:val="E0329EE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9172B13"/>
    <w:multiLevelType w:val="hybridMultilevel"/>
    <w:tmpl w:val="4B149FB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680103"/>
    <w:multiLevelType w:val="multilevel"/>
    <w:tmpl w:val="01EC3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20115675">
    <w:abstractNumId w:val="6"/>
  </w:num>
  <w:num w:numId="2" w16cid:durableId="1696691364">
    <w:abstractNumId w:val="7"/>
  </w:num>
  <w:num w:numId="3" w16cid:durableId="1686134618">
    <w:abstractNumId w:val="15"/>
  </w:num>
  <w:num w:numId="4" w16cid:durableId="260728071">
    <w:abstractNumId w:val="1"/>
  </w:num>
  <w:num w:numId="5" w16cid:durableId="546919795">
    <w:abstractNumId w:val="8"/>
  </w:num>
  <w:num w:numId="6" w16cid:durableId="1582637584">
    <w:abstractNumId w:val="19"/>
  </w:num>
  <w:num w:numId="7" w16cid:durableId="564414861">
    <w:abstractNumId w:val="4"/>
  </w:num>
  <w:num w:numId="8" w16cid:durableId="579172631">
    <w:abstractNumId w:val="11"/>
  </w:num>
  <w:num w:numId="9" w16cid:durableId="718558512">
    <w:abstractNumId w:val="20"/>
  </w:num>
  <w:num w:numId="10" w16cid:durableId="929772405">
    <w:abstractNumId w:val="2"/>
  </w:num>
  <w:num w:numId="11" w16cid:durableId="1226600582">
    <w:abstractNumId w:val="21"/>
  </w:num>
  <w:num w:numId="12" w16cid:durableId="1417896189">
    <w:abstractNumId w:val="12"/>
  </w:num>
  <w:num w:numId="13" w16cid:durableId="1257666472">
    <w:abstractNumId w:val="22"/>
  </w:num>
  <w:num w:numId="14" w16cid:durableId="1433630396">
    <w:abstractNumId w:val="16"/>
  </w:num>
  <w:num w:numId="15" w16cid:durableId="1825510133">
    <w:abstractNumId w:val="24"/>
  </w:num>
  <w:num w:numId="16" w16cid:durableId="1581672831">
    <w:abstractNumId w:val="10"/>
  </w:num>
  <w:num w:numId="17" w16cid:durableId="189032295">
    <w:abstractNumId w:val="5"/>
  </w:num>
  <w:num w:numId="18" w16cid:durableId="728648627">
    <w:abstractNumId w:val="14"/>
  </w:num>
  <w:num w:numId="19" w16cid:durableId="955527931">
    <w:abstractNumId w:val="23"/>
  </w:num>
  <w:num w:numId="20" w16cid:durableId="1640456831">
    <w:abstractNumId w:val="9"/>
  </w:num>
  <w:num w:numId="21" w16cid:durableId="1255167642">
    <w:abstractNumId w:val="17"/>
  </w:num>
  <w:num w:numId="22" w16cid:durableId="117070639">
    <w:abstractNumId w:val="13"/>
  </w:num>
  <w:num w:numId="23" w16cid:durableId="987324669">
    <w:abstractNumId w:val="3"/>
  </w:num>
  <w:num w:numId="24" w16cid:durableId="217712878">
    <w:abstractNumId w:val="18"/>
  </w:num>
  <w:num w:numId="25" w16cid:durableId="124375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9C"/>
    <w:rsid w:val="0002453B"/>
    <w:rsid w:val="0004471F"/>
    <w:rsid w:val="00044ABC"/>
    <w:rsid w:val="00051586"/>
    <w:rsid w:val="00080A1B"/>
    <w:rsid w:val="000936A6"/>
    <w:rsid w:val="000D6CAB"/>
    <w:rsid w:val="000E2946"/>
    <w:rsid w:val="000E4683"/>
    <w:rsid w:val="00106B57"/>
    <w:rsid w:val="00136757"/>
    <w:rsid w:val="0014399E"/>
    <w:rsid w:val="00160691"/>
    <w:rsid w:val="001744CE"/>
    <w:rsid w:val="00176E53"/>
    <w:rsid w:val="001824D4"/>
    <w:rsid w:val="00192883"/>
    <w:rsid w:val="001B1186"/>
    <w:rsid w:val="001B529F"/>
    <w:rsid w:val="001B7A08"/>
    <w:rsid w:val="001C39F1"/>
    <w:rsid w:val="001E586C"/>
    <w:rsid w:val="001F0306"/>
    <w:rsid w:val="001F28DA"/>
    <w:rsid w:val="00235BBA"/>
    <w:rsid w:val="002851B8"/>
    <w:rsid w:val="002A70EF"/>
    <w:rsid w:val="002D6FA4"/>
    <w:rsid w:val="002E0B4B"/>
    <w:rsid w:val="002F48EF"/>
    <w:rsid w:val="003052D9"/>
    <w:rsid w:val="00351424"/>
    <w:rsid w:val="00376355"/>
    <w:rsid w:val="0038417A"/>
    <w:rsid w:val="003A7D90"/>
    <w:rsid w:val="003E72EA"/>
    <w:rsid w:val="00423BB8"/>
    <w:rsid w:val="00480769"/>
    <w:rsid w:val="0049113E"/>
    <w:rsid w:val="00496D76"/>
    <w:rsid w:val="004A643B"/>
    <w:rsid w:val="004A6F80"/>
    <w:rsid w:val="004D6F73"/>
    <w:rsid w:val="00516F61"/>
    <w:rsid w:val="00520183"/>
    <w:rsid w:val="00530379"/>
    <w:rsid w:val="005465DB"/>
    <w:rsid w:val="00557205"/>
    <w:rsid w:val="00583EE3"/>
    <w:rsid w:val="00584EF3"/>
    <w:rsid w:val="00592AAE"/>
    <w:rsid w:val="005B1660"/>
    <w:rsid w:val="005E4463"/>
    <w:rsid w:val="005F7B58"/>
    <w:rsid w:val="006178B4"/>
    <w:rsid w:val="00640DB2"/>
    <w:rsid w:val="0064140D"/>
    <w:rsid w:val="0065752E"/>
    <w:rsid w:val="00660BE2"/>
    <w:rsid w:val="00693B39"/>
    <w:rsid w:val="006B3461"/>
    <w:rsid w:val="0072006F"/>
    <w:rsid w:val="00734737"/>
    <w:rsid w:val="00765673"/>
    <w:rsid w:val="0077131D"/>
    <w:rsid w:val="007B2A61"/>
    <w:rsid w:val="00802499"/>
    <w:rsid w:val="0087627C"/>
    <w:rsid w:val="008C58BB"/>
    <w:rsid w:val="008F7222"/>
    <w:rsid w:val="00934690"/>
    <w:rsid w:val="00937B46"/>
    <w:rsid w:val="00937C2A"/>
    <w:rsid w:val="00953C44"/>
    <w:rsid w:val="00954003"/>
    <w:rsid w:val="009676BB"/>
    <w:rsid w:val="00967BE8"/>
    <w:rsid w:val="00992E59"/>
    <w:rsid w:val="00995E00"/>
    <w:rsid w:val="009B4784"/>
    <w:rsid w:val="009B47EE"/>
    <w:rsid w:val="009C6D53"/>
    <w:rsid w:val="009F3D2A"/>
    <w:rsid w:val="00A1390D"/>
    <w:rsid w:val="00A14FB8"/>
    <w:rsid w:val="00A26C5A"/>
    <w:rsid w:val="00A61F72"/>
    <w:rsid w:val="00A81A62"/>
    <w:rsid w:val="00A87E34"/>
    <w:rsid w:val="00AA0183"/>
    <w:rsid w:val="00AA219C"/>
    <w:rsid w:val="00AA67EE"/>
    <w:rsid w:val="00AB51CE"/>
    <w:rsid w:val="00AD2D77"/>
    <w:rsid w:val="00AE7640"/>
    <w:rsid w:val="00B06C20"/>
    <w:rsid w:val="00B6638C"/>
    <w:rsid w:val="00BA5726"/>
    <w:rsid w:val="00BE2055"/>
    <w:rsid w:val="00C0797C"/>
    <w:rsid w:val="00C129AE"/>
    <w:rsid w:val="00C17700"/>
    <w:rsid w:val="00C25183"/>
    <w:rsid w:val="00C42788"/>
    <w:rsid w:val="00C555FB"/>
    <w:rsid w:val="00C66A74"/>
    <w:rsid w:val="00C8277C"/>
    <w:rsid w:val="00CA0FD5"/>
    <w:rsid w:val="00CC2AE5"/>
    <w:rsid w:val="00CC6F11"/>
    <w:rsid w:val="00CD23A2"/>
    <w:rsid w:val="00CE47B3"/>
    <w:rsid w:val="00D03B85"/>
    <w:rsid w:val="00D55C96"/>
    <w:rsid w:val="00D61FB4"/>
    <w:rsid w:val="00D72A95"/>
    <w:rsid w:val="00D77F64"/>
    <w:rsid w:val="00D836D6"/>
    <w:rsid w:val="00D93035"/>
    <w:rsid w:val="00D94C31"/>
    <w:rsid w:val="00DB58C6"/>
    <w:rsid w:val="00DC5507"/>
    <w:rsid w:val="00DD560D"/>
    <w:rsid w:val="00DF6C58"/>
    <w:rsid w:val="00E1209B"/>
    <w:rsid w:val="00E31DDE"/>
    <w:rsid w:val="00EA0BE8"/>
    <w:rsid w:val="00EE43D9"/>
    <w:rsid w:val="00F017D9"/>
    <w:rsid w:val="00F0741D"/>
    <w:rsid w:val="00F125D5"/>
    <w:rsid w:val="00F12BC6"/>
    <w:rsid w:val="00F24156"/>
    <w:rsid w:val="00F51FAF"/>
    <w:rsid w:val="00F54327"/>
    <w:rsid w:val="00F630A1"/>
    <w:rsid w:val="00F657E4"/>
    <w:rsid w:val="00F707F5"/>
    <w:rsid w:val="00F739C9"/>
    <w:rsid w:val="00F80ED3"/>
    <w:rsid w:val="00F86635"/>
    <w:rsid w:val="00FC17DF"/>
    <w:rsid w:val="00FC7AD6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7566"/>
  <w15:chartTrackingRefBased/>
  <w15:docId w15:val="{EF552F13-A25B-4190-91AE-14CB657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BB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A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A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21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A21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A21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21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21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21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A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A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A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A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A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A21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A219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A219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A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A219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A219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A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219C"/>
  </w:style>
  <w:style w:type="paragraph" w:styleId="Pta">
    <w:name w:val="footer"/>
    <w:basedOn w:val="Normlny"/>
    <w:link w:val="PtaChar"/>
    <w:uiPriority w:val="99"/>
    <w:unhideWhenUsed/>
    <w:rsid w:val="00AA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219C"/>
  </w:style>
  <w:style w:type="character" w:styleId="Hypertextovprepojenie">
    <w:name w:val="Hyperlink"/>
    <w:basedOn w:val="Predvolenpsmoodseku"/>
    <w:uiPriority w:val="99"/>
    <w:unhideWhenUsed/>
    <w:rsid w:val="00AA219C"/>
    <w:rPr>
      <w:color w:val="467886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B47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47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47EE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47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47EE"/>
    <w:rPr>
      <w:b/>
      <w:bCs/>
      <w:kern w:val="0"/>
      <w:sz w:val="20"/>
      <w:szCs w:val="20"/>
      <w14:ligatures w14:val="none"/>
    </w:rPr>
  </w:style>
  <w:style w:type="table" w:styleId="Mriekatabuky">
    <w:name w:val="Table Grid"/>
    <w:basedOn w:val="Normlnatabuka"/>
    <w:uiPriority w:val="39"/>
    <w:rsid w:val="0005158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-production.sk" TargetMode="External"/><Relationship Id="rId1" Type="http://schemas.openxmlformats.org/officeDocument/2006/relationships/hyperlink" Target="mailto:info@nafta-productio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7AAB-6C6F-420E-A07C-06744F3A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NAFTA a.s.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Stračár Pavol</dc:creator>
  <cp:keywords/>
  <dc:description/>
  <cp:lastModifiedBy>Stračár Pavol</cp:lastModifiedBy>
  <cp:revision>11</cp:revision>
  <dcterms:created xsi:type="dcterms:W3CDTF">2026-05-15T09:41:00Z</dcterms:created>
  <dcterms:modified xsi:type="dcterms:W3CDTF">2026-05-19T20:27:00Z</dcterms:modified>
</cp:coreProperties>
</file>